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468B0">
      <w:pPr>
        <w:jc w:val="center"/>
        <w:rPr>
          <w:rFonts w:hint="default" w:eastAsiaTheme="minorEastAsia"/>
          <w:b/>
          <w:bCs/>
          <w:sz w:val="24"/>
          <w:szCs w:val="32"/>
          <w:lang w:val="en-US" w:eastAsia="zh-CN"/>
        </w:rPr>
      </w:pPr>
      <w:r>
        <w:rPr>
          <w:rFonts w:hint="eastAsia"/>
          <w:b/>
          <w:bCs/>
          <w:sz w:val="24"/>
          <w:szCs w:val="32"/>
        </w:rPr>
        <w:t>奥林巴斯胃肠镜维保</w:t>
      </w:r>
      <w:r>
        <w:rPr>
          <w:rFonts w:hint="eastAsia"/>
          <w:b/>
          <w:bCs/>
          <w:sz w:val="24"/>
          <w:szCs w:val="32"/>
          <w:lang w:val="en-US" w:eastAsia="zh-CN"/>
        </w:rPr>
        <w:t>采购需求</w:t>
      </w:r>
    </w:p>
    <w:p w14:paraId="1B97FE5A">
      <w:pPr>
        <w:numPr>
          <w:ilvl w:val="0"/>
          <w:numId w:val="1"/>
        </w:numPr>
        <w:rPr>
          <w:rFonts w:hint="eastAsia"/>
        </w:rPr>
      </w:pPr>
      <w:r>
        <w:rPr>
          <w:rFonts w:hint="eastAsia"/>
        </w:rPr>
        <w:t>项目采购基本信息</w:t>
      </w:r>
    </w:p>
    <w:tbl>
      <w:tblPr>
        <w:tblStyle w:val="2"/>
        <w:tblW w:w="5149" w:type="pct"/>
        <w:tblInd w:w="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autofit"/>
        <w:tblCellMar>
          <w:top w:w="0" w:type="dxa"/>
          <w:left w:w="0" w:type="dxa"/>
          <w:bottom w:w="0" w:type="dxa"/>
          <w:right w:w="0" w:type="dxa"/>
        </w:tblCellMar>
      </w:tblPr>
      <w:tblGrid>
        <w:gridCol w:w="1627"/>
        <w:gridCol w:w="1488"/>
        <w:gridCol w:w="1633"/>
        <w:gridCol w:w="1796"/>
        <w:gridCol w:w="2023"/>
      </w:tblGrid>
      <w:tr w14:paraId="50BF30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949" w:type="pct"/>
            <w:tcBorders>
              <w:bottom w:val="single" w:color="000000" w:sz="4" w:space="0"/>
              <w:right w:val="single" w:color="000000" w:sz="4" w:space="0"/>
            </w:tcBorders>
            <w:noWrap w:val="0"/>
            <w:vAlign w:val="center"/>
          </w:tcPr>
          <w:p w14:paraId="00101492">
            <w:pPr>
              <w:pStyle w:val="4"/>
              <w:tabs>
                <w:tab w:val="left" w:pos="995"/>
                <w:tab w:val="center" w:pos="1347"/>
              </w:tabs>
              <w:spacing w:before="133"/>
              <w:ind w:firstLine="562" w:firstLineChars="200"/>
              <w:jc w:val="both"/>
              <w:rPr>
                <w:b/>
                <w:sz w:val="28"/>
              </w:rPr>
            </w:pPr>
            <w:r>
              <w:rPr>
                <w:b/>
                <w:sz w:val="28"/>
              </w:rPr>
              <w:t>名称</w:t>
            </w:r>
          </w:p>
        </w:tc>
        <w:tc>
          <w:tcPr>
            <w:tcW w:w="868" w:type="pct"/>
            <w:tcBorders>
              <w:left w:val="single" w:color="000000" w:sz="4" w:space="0"/>
              <w:bottom w:val="single" w:color="000000" w:sz="4" w:space="0"/>
              <w:right w:val="single" w:color="000000" w:sz="4" w:space="0"/>
            </w:tcBorders>
            <w:noWrap w:val="0"/>
            <w:vAlign w:val="top"/>
          </w:tcPr>
          <w:p w14:paraId="4E39DD75">
            <w:pPr>
              <w:pStyle w:val="4"/>
              <w:spacing w:before="133"/>
              <w:ind w:left="85" w:right="78"/>
              <w:jc w:val="center"/>
              <w:rPr>
                <w:b/>
                <w:sz w:val="28"/>
              </w:rPr>
            </w:pPr>
            <w:r>
              <w:rPr>
                <w:b/>
                <w:sz w:val="28"/>
              </w:rPr>
              <w:t>品牌</w:t>
            </w:r>
          </w:p>
        </w:tc>
        <w:tc>
          <w:tcPr>
            <w:tcW w:w="953" w:type="pct"/>
            <w:tcBorders>
              <w:left w:val="single" w:color="000000" w:sz="4" w:space="0"/>
              <w:bottom w:val="single" w:color="000000" w:sz="4" w:space="0"/>
              <w:right w:val="single" w:color="000000" w:sz="4" w:space="0"/>
            </w:tcBorders>
            <w:noWrap w:val="0"/>
            <w:vAlign w:val="top"/>
          </w:tcPr>
          <w:p w14:paraId="1E2194AB">
            <w:pPr>
              <w:pStyle w:val="4"/>
              <w:spacing w:before="133"/>
              <w:ind w:left="192"/>
              <w:jc w:val="center"/>
              <w:rPr>
                <w:b/>
                <w:sz w:val="28"/>
              </w:rPr>
            </w:pPr>
            <w:r>
              <w:rPr>
                <w:b/>
                <w:sz w:val="28"/>
              </w:rPr>
              <w:t>型号</w:t>
            </w:r>
          </w:p>
        </w:tc>
        <w:tc>
          <w:tcPr>
            <w:tcW w:w="1048" w:type="pct"/>
            <w:tcBorders>
              <w:left w:val="single" w:color="000000" w:sz="4" w:space="0"/>
              <w:bottom w:val="single" w:color="000000" w:sz="4" w:space="0"/>
              <w:right w:val="single" w:color="000000" w:sz="4" w:space="0"/>
            </w:tcBorders>
            <w:noWrap w:val="0"/>
            <w:vAlign w:val="top"/>
          </w:tcPr>
          <w:p w14:paraId="0B8BDC88">
            <w:pPr>
              <w:pStyle w:val="4"/>
              <w:spacing w:before="133"/>
              <w:ind w:left="358" w:right="352"/>
              <w:jc w:val="center"/>
              <w:rPr>
                <w:b/>
                <w:sz w:val="28"/>
              </w:rPr>
            </w:pPr>
            <w:r>
              <w:rPr>
                <w:b/>
                <w:sz w:val="28"/>
              </w:rPr>
              <w:t>机身号</w:t>
            </w:r>
          </w:p>
        </w:tc>
        <w:tc>
          <w:tcPr>
            <w:tcW w:w="1180" w:type="pct"/>
            <w:tcBorders>
              <w:left w:val="single" w:color="000000" w:sz="4" w:space="0"/>
              <w:bottom w:val="single" w:color="000000" w:sz="4" w:space="0"/>
              <w:right w:val="single" w:color="000000" w:sz="4" w:space="0"/>
            </w:tcBorders>
            <w:noWrap w:val="0"/>
            <w:vAlign w:val="top"/>
          </w:tcPr>
          <w:p w14:paraId="2F978B6A">
            <w:pPr>
              <w:pStyle w:val="4"/>
              <w:spacing w:before="133"/>
              <w:ind w:left="358" w:right="352"/>
              <w:jc w:val="center"/>
              <w:rPr>
                <w:rFonts w:hint="default" w:eastAsia="宋体"/>
                <w:b/>
                <w:sz w:val="28"/>
                <w:lang w:val="en-US" w:eastAsia="zh-CN"/>
              </w:rPr>
            </w:pPr>
            <w:r>
              <w:rPr>
                <w:rFonts w:hint="eastAsia"/>
                <w:b/>
                <w:sz w:val="28"/>
                <w:lang w:val="en-US" w:eastAsia="zh-CN"/>
              </w:rPr>
              <w:t>装机时间</w:t>
            </w:r>
          </w:p>
        </w:tc>
      </w:tr>
      <w:tr w14:paraId="3F1170E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3" w:hRule="atLeast"/>
        </w:trPr>
        <w:tc>
          <w:tcPr>
            <w:tcW w:w="949" w:type="pct"/>
            <w:tcBorders>
              <w:top w:val="single" w:color="000000" w:sz="4" w:space="0"/>
              <w:bottom w:val="single" w:color="000000" w:sz="4" w:space="0"/>
              <w:right w:val="single" w:color="000000" w:sz="4" w:space="0"/>
            </w:tcBorders>
            <w:noWrap w:val="0"/>
            <w:vAlign w:val="top"/>
          </w:tcPr>
          <w:p w14:paraId="60956654">
            <w:pPr>
              <w:pStyle w:val="4"/>
              <w:spacing w:before="92"/>
              <w:ind w:left="97"/>
              <w:jc w:val="center"/>
              <w:rPr>
                <w:rFonts w:hint="default"/>
                <w:sz w:val="21"/>
                <w:lang w:val="en-US" w:eastAsia="zh-CN"/>
              </w:rPr>
            </w:pPr>
            <w:r>
              <w:rPr>
                <w:rFonts w:hint="eastAsia"/>
                <w:sz w:val="21"/>
                <w:lang w:val="en-US" w:eastAsia="zh-CN"/>
              </w:rPr>
              <w:t>主机</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07434CC6">
            <w:pPr>
              <w:pStyle w:val="4"/>
              <w:spacing w:before="92"/>
              <w:ind w:left="85" w:right="81"/>
              <w:jc w:val="center"/>
              <w:rPr>
                <w:rFonts w:hint="eastAsia" w:eastAsia="宋体"/>
                <w:sz w:val="21"/>
                <w:lang w:val="en-US" w:eastAsia="zh-CN"/>
              </w:rPr>
            </w:pPr>
            <w:r>
              <w:rPr>
                <w:rFonts w:hint="eastAsia"/>
                <w:sz w:val="21"/>
                <w:lang w:val="en-US" w:eastAsia="zh-CN"/>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28CCA53D">
            <w:pPr>
              <w:pStyle w:val="4"/>
              <w:spacing w:before="92"/>
              <w:ind w:left="106"/>
              <w:jc w:val="center"/>
              <w:rPr>
                <w:rFonts w:hint="default" w:eastAsia="宋体"/>
                <w:sz w:val="21"/>
                <w:lang w:val="en-US" w:eastAsia="zh-CN"/>
              </w:rPr>
            </w:pPr>
            <w:r>
              <w:rPr>
                <w:rFonts w:hint="eastAsia"/>
                <w:sz w:val="21"/>
                <w:lang w:val="en-US" w:eastAsia="zh-CN"/>
              </w:rPr>
              <w:t>CV-290</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12B8B0AD">
            <w:pPr>
              <w:pStyle w:val="4"/>
              <w:spacing w:before="92"/>
              <w:ind w:left="358" w:right="348"/>
              <w:jc w:val="center"/>
              <w:rPr>
                <w:rFonts w:hint="default" w:eastAsia="宋体"/>
                <w:sz w:val="21"/>
                <w:lang w:val="en-US" w:eastAsia="zh-CN"/>
              </w:rPr>
            </w:pPr>
            <w:r>
              <w:rPr>
                <w:rFonts w:hint="eastAsia"/>
                <w:sz w:val="21"/>
                <w:lang w:val="en-US" w:eastAsia="zh-CN"/>
              </w:rPr>
              <w:t>7144342</w:t>
            </w:r>
          </w:p>
        </w:tc>
        <w:tc>
          <w:tcPr>
            <w:tcW w:w="1180" w:type="pct"/>
            <w:vMerge w:val="restart"/>
            <w:tcBorders>
              <w:top w:val="single" w:color="000000" w:sz="4" w:space="0"/>
              <w:left w:val="single" w:color="000000" w:sz="4" w:space="0"/>
              <w:right w:val="single" w:color="000000" w:sz="4" w:space="0"/>
            </w:tcBorders>
            <w:noWrap w:val="0"/>
            <w:vAlign w:val="center"/>
          </w:tcPr>
          <w:p w14:paraId="525F7A00">
            <w:pPr>
              <w:pStyle w:val="4"/>
              <w:spacing w:before="92"/>
              <w:ind w:left="358" w:right="348"/>
              <w:jc w:val="center"/>
              <w:rPr>
                <w:rFonts w:hint="default"/>
                <w:sz w:val="21"/>
                <w:lang w:val="en-US" w:eastAsia="zh-CN"/>
              </w:rPr>
            </w:pPr>
            <w:r>
              <w:rPr>
                <w:rFonts w:hint="eastAsia"/>
                <w:sz w:val="21"/>
                <w:lang w:val="en-US" w:eastAsia="zh-CN"/>
              </w:rPr>
              <w:t>2021年10月29日</w:t>
            </w:r>
          </w:p>
        </w:tc>
      </w:tr>
      <w:tr w14:paraId="261E80A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3" w:hRule="atLeast"/>
        </w:trPr>
        <w:tc>
          <w:tcPr>
            <w:tcW w:w="949" w:type="pct"/>
            <w:tcBorders>
              <w:top w:val="single" w:color="000000" w:sz="4" w:space="0"/>
              <w:bottom w:val="single" w:color="000000" w:sz="4" w:space="0"/>
              <w:right w:val="single" w:color="000000" w:sz="4" w:space="0"/>
            </w:tcBorders>
            <w:noWrap w:val="0"/>
            <w:vAlign w:val="top"/>
          </w:tcPr>
          <w:p w14:paraId="0FE96A47">
            <w:pPr>
              <w:pStyle w:val="4"/>
              <w:spacing w:before="92"/>
              <w:ind w:left="97"/>
              <w:jc w:val="center"/>
              <w:rPr>
                <w:rFonts w:hint="eastAsia" w:eastAsia="宋体"/>
                <w:sz w:val="21"/>
                <w:lang w:eastAsia="zh-CN"/>
              </w:rPr>
            </w:pPr>
            <w:r>
              <w:rPr>
                <w:rFonts w:hint="eastAsia"/>
                <w:sz w:val="21"/>
                <w:lang w:val="en-US" w:eastAsia="zh-CN"/>
              </w:rPr>
              <w:t>胃镜</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1A02D334">
            <w:pPr>
              <w:pStyle w:val="4"/>
              <w:spacing w:before="92"/>
              <w:ind w:left="85" w:right="81"/>
              <w:jc w:val="center"/>
              <w:rPr>
                <w:sz w:val="21"/>
              </w:rPr>
            </w:pPr>
            <w:r>
              <w:rPr>
                <w:sz w:val="21"/>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67F83087">
            <w:pPr>
              <w:pStyle w:val="4"/>
              <w:spacing w:before="92"/>
              <w:ind w:left="106"/>
              <w:jc w:val="center"/>
              <w:rPr>
                <w:rFonts w:hint="default" w:eastAsia="宋体"/>
                <w:sz w:val="21"/>
                <w:lang w:val="en-US" w:eastAsia="zh-CN"/>
              </w:rPr>
            </w:pPr>
            <w:r>
              <w:rPr>
                <w:rFonts w:hint="eastAsia"/>
                <w:sz w:val="21"/>
                <w:lang w:val="en-US" w:eastAsia="zh-CN"/>
              </w:rPr>
              <w:t>GIF-H290Z</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4035CC8A">
            <w:pPr>
              <w:pStyle w:val="4"/>
              <w:spacing w:before="92"/>
              <w:ind w:left="358" w:right="348"/>
              <w:jc w:val="center"/>
              <w:rPr>
                <w:rFonts w:hint="default" w:eastAsia="宋体"/>
                <w:sz w:val="21"/>
                <w:lang w:val="en-US" w:eastAsia="zh-CN"/>
              </w:rPr>
            </w:pPr>
            <w:r>
              <w:rPr>
                <w:rFonts w:hint="eastAsia"/>
                <w:sz w:val="21"/>
                <w:lang w:val="en-US" w:eastAsia="zh-CN"/>
              </w:rPr>
              <w:t>2137436</w:t>
            </w:r>
          </w:p>
        </w:tc>
        <w:tc>
          <w:tcPr>
            <w:tcW w:w="1180" w:type="pct"/>
            <w:vMerge w:val="continue"/>
            <w:tcBorders>
              <w:left w:val="single" w:color="000000" w:sz="4" w:space="0"/>
              <w:right w:val="single" w:color="000000" w:sz="4" w:space="0"/>
            </w:tcBorders>
            <w:noWrap w:val="0"/>
            <w:vAlign w:val="top"/>
          </w:tcPr>
          <w:p w14:paraId="7B29C41E">
            <w:pPr>
              <w:pStyle w:val="4"/>
              <w:spacing w:before="92"/>
              <w:ind w:left="358" w:right="348"/>
              <w:jc w:val="center"/>
              <w:rPr>
                <w:rFonts w:hint="eastAsia"/>
                <w:sz w:val="21"/>
                <w:lang w:val="en-US" w:eastAsia="zh-CN"/>
              </w:rPr>
            </w:pPr>
          </w:p>
        </w:tc>
      </w:tr>
      <w:tr w14:paraId="7526DE4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949" w:type="pct"/>
            <w:tcBorders>
              <w:top w:val="single" w:color="000000" w:sz="4" w:space="0"/>
              <w:bottom w:val="single" w:color="000000" w:sz="4" w:space="0"/>
              <w:right w:val="single" w:color="000000" w:sz="4" w:space="0"/>
            </w:tcBorders>
            <w:noWrap w:val="0"/>
            <w:vAlign w:val="top"/>
          </w:tcPr>
          <w:p w14:paraId="2C311248">
            <w:pPr>
              <w:pStyle w:val="4"/>
              <w:spacing w:before="91"/>
              <w:ind w:left="97"/>
              <w:jc w:val="center"/>
              <w:rPr>
                <w:rFonts w:hint="eastAsia" w:eastAsia="宋体"/>
                <w:sz w:val="21"/>
                <w:lang w:eastAsia="zh-CN"/>
              </w:rPr>
            </w:pPr>
            <w:r>
              <w:rPr>
                <w:rFonts w:hint="eastAsia"/>
                <w:sz w:val="21"/>
                <w:lang w:val="en-US" w:eastAsia="zh-CN"/>
              </w:rPr>
              <w:t>胃镜</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029F9D32">
            <w:pPr>
              <w:pStyle w:val="4"/>
              <w:spacing w:before="91"/>
              <w:ind w:left="85" w:right="81"/>
              <w:jc w:val="center"/>
              <w:rPr>
                <w:sz w:val="21"/>
              </w:rPr>
            </w:pPr>
            <w:r>
              <w:rPr>
                <w:sz w:val="21"/>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2FC4EE42">
            <w:pPr>
              <w:pStyle w:val="4"/>
              <w:spacing w:before="91"/>
              <w:ind w:left="106"/>
              <w:jc w:val="center"/>
              <w:rPr>
                <w:sz w:val="21"/>
              </w:rPr>
            </w:pPr>
            <w:r>
              <w:rPr>
                <w:rFonts w:hint="eastAsia"/>
                <w:sz w:val="21"/>
                <w:lang w:val="en-US" w:eastAsia="zh-CN"/>
              </w:rPr>
              <w:t>GIF-H290</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4A5B154C">
            <w:pPr>
              <w:pStyle w:val="4"/>
              <w:spacing w:before="91"/>
              <w:ind w:left="358" w:right="348"/>
              <w:jc w:val="center"/>
              <w:rPr>
                <w:rFonts w:hint="default" w:eastAsia="宋体"/>
                <w:sz w:val="21"/>
                <w:lang w:val="en-US" w:eastAsia="zh-CN"/>
              </w:rPr>
            </w:pPr>
            <w:r>
              <w:rPr>
                <w:rFonts w:hint="eastAsia"/>
                <w:sz w:val="21"/>
                <w:lang w:val="en-US" w:eastAsia="zh-CN"/>
              </w:rPr>
              <w:t>2157036</w:t>
            </w:r>
          </w:p>
        </w:tc>
        <w:tc>
          <w:tcPr>
            <w:tcW w:w="1180" w:type="pct"/>
            <w:vMerge w:val="continue"/>
            <w:tcBorders>
              <w:left w:val="single" w:color="000000" w:sz="4" w:space="0"/>
              <w:right w:val="single" w:color="000000" w:sz="4" w:space="0"/>
            </w:tcBorders>
            <w:noWrap w:val="0"/>
            <w:vAlign w:val="top"/>
          </w:tcPr>
          <w:p w14:paraId="3CD211EF">
            <w:pPr>
              <w:pStyle w:val="4"/>
              <w:spacing w:before="91"/>
              <w:ind w:left="358" w:right="348"/>
              <w:jc w:val="center"/>
              <w:rPr>
                <w:rFonts w:hint="eastAsia"/>
                <w:sz w:val="21"/>
                <w:lang w:val="en-US" w:eastAsia="zh-CN"/>
              </w:rPr>
            </w:pPr>
          </w:p>
        </w:tc>
      </w:tr>
      <w:tr w14:paraId="7AD3AC2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949" w:type="pct"/>
            <w:tcBorders>
              <w:top w:val="single" w:color="000000" w:sz="4" w:space="0"/>
              <w:bottom w:val="single" w:color="000000" w:sz="4" w:space="0"/>
              <w:right w:val="single" w:color="000000" w:sz="4" w:space="0"/>
            </w:tcBorders>
            <w:noWrap w:val="0"/>
            <w:vAlign w:val="top"/>
          </w:tcPr>
          <w:p w14:paraId="02BB0165">
            <w:pPr>
              <w:pStyle w:val="4"/>
              <w:spacing w:before="93"/>
              <w:ind w:left="97"/>
              <w:jc w:val="center"/>
              <w:rPr>
                <w:rFonts w:hint="eastAsia" w:eastAsia="宋体"/>
                <w:sz w:val="21"/>
                <w:lang w:eastAsia="zh-CN"/>
              </w:rPr>
            </w:pPr>
            <w:r>
              <w:rPr>
                <w:rFonts w:hint="eastAsia"/>
                <w:sz w:val="21"/>
                <w:lang w:val="en-US" w:eastAsia="zh-CN"/>
              </w:rPr>
              <w:t>肠镜</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4463C34D">
            <w:pPr>
              <w:pStyle w:val="4"/>
              <w:spacing w:before="93"/>
              <w:ind w:left="85" w:right="81"/>
              <w:jc w:val="center"/>
              <w:rPr>
                <w:sz w:val="21"/>
              </w:rPr>
            </w:pPr>
            <w:r>
              <w:rPr>
                <w:sz w:val="21"/>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5AC929F9">
            <w:pPr>
              <w:pStyle w:val="4"/>
              <w:spacing w:before="93"/>
              <w:ind w:left="106"/>
              <w:jc w:val="center"/>
              <w:rPr>
                <w:rFonts w:hint="default" w:eastAsia="宋体"/>
                <w:sz w:val="21"/>
                <w:lang w:val="en-US" w:eastAsia="zh-CN"/>
              </w:rPr>
            </w:pPr>
            <w:r>
              <w:rPr>
                <w:rFonts w:hint="eastAsia"/>
                <w:sz w:val="21"/>
                <w:lang w:val="en-US" w:eastAsia="zh-CN"/>
              </w:rPr>
              <w:t>CF-H290I</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3B0170C6">
            <w:pPr>
              <w:pStyle w:val="4"/>
              <w:spacing w:before="93"/>
              <w:ind w:left="358" w:right="348"/>
              <w:jc w:val="center"/>
              <w:rPr>
                <w:rFonts w:hint="default" w:eastAsia="宋体"/>
                <w:sz w:val="21"/>
                <w:lang w:val="en-US" w:eastAsia="zh-CN"/>
              </w:rPr>
            </w:pPr>
            <w:r>
              <w:rPr>
                <w:rFonts w:hint="eastAsia"/>
                <w:sz w:val="21"/>
                <w:lang w:val="en-US" w:eastAsia="zh-CN"/>
              </w:rPr>
              <w:t>2148208</w:t>
            </w:r>
          </w:p>
        </w:tc>
        <w:tc>
          <w:tcPr>
            <w:tcW w:w="1180" w:type="pct"/>
            <w:vMerge w:val="continue"/>
            <w:tcBorders>
              <w:left w:val="single" w:color="000000" w:sz="4" w:space="0"/>
              <w:right w:val="single" w:color="000000" w:sz="4" w:space="0"/>
            </w:tcBorders>
            <w:noWrap w:val="0"/>
            <w:vAlign w:val="top"/>
          </w:tcPr>
          <w:p w14:paraId="04C85D33">
            <w:pPr>
              <w:pStyle w:val="4"/>
              <w:spacing w:before="93"/>
              <w:ind w:left="358" w:right="348"/>
              <w:jc w:val="center"/>
              <w:rPr>
                <w:rFonts w:hint="eastAsia"/>
                <w:sz w:val="21"/>
                <w:lang w:val="en-US" w:eastAsia="zh-CN"/>
              </w:rPr>
            </w:pPr>
          </w:p>
        </w:tc>
      </w:tr>
      <w:tr w14:paraId="1294CFF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3" w:hRule="atLeast"/>
        </w:trPr>
        <w:tc>
          <w:tcPr>
            <w:tcW w:w="949" w:type="pct"/>
            <w:tcBorders>
              <w:top w:val="single" w:color="000000" w:sz="4" w:space="0"/>
              <w:bottom w:val="single" w:color="000000" w:sz="4" w:space="0"/>
              <w:right w:val="single" w:color="000000" w:sz="4" w:space="0"/>
            </w:tcBorders>
            <w:noWrap w:val="0"/>
            <w:vAlign w:val="top"/>
          </w:tcPr>
          <w:p w14:paraId="2D4DBF11">
            <w:pPr>
              <w:pStyle w:val="4"/>
              <w:spacing w:before="92"/>
              <w:ind w:left="97"/>
              <w:jc w:val="center"/>
              <w:rPr>
                <w:rFonts w:hint="eastAsia" w:eastAsia="宋体"/>
                <w:sz w:val="21"/>
                <w:lang w:eastAsia="zh-CN"/>
              </w:rPr>
            </w:pPr>
            <w:r>
              <w:rPr>
                <w:rFonts w:hint="eastAsia"/>
                <w:sz w:val="21"/>
                <w:lang w:val="en-US" w:eastAsia="zh-CN"/>
              </w:rPr>
              <w:t>肠镜</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333E6CA5">
            <w:pPr>
              <w:pStyle w:val="4"/>
              <w:spacing w:before="92"/>
              <w:ind w:left="85" w:right="81"/>
              <w:jc w:val="center"/>
              <w:rPr>
                <w:sz w:val="21"/>
              </w:rPr>
            </w:pPr>
            <w:r>
              <w:rPr>
                <w:sz w:val="21"/>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3D629EB8">
            <w:pPr>
              <w:pStyle w:val="4"/>
              <w:spacing w:before="92"/>
              <w:ind w:left="106"/>
              <w:jc w:val="center"/>
              <w:rPr>
                <w:rFonts w:hint="default" w:eastAsia="宋体"/>
                <w:sz w:val="21"/>
                <w:lang w:val="en-US" w:eastAsia="zh-CN"/>
              </w:rPr>
            </w:pPr>
            <w:r>
              <w:rPr>
                <w:rFonts w:hint="eastAsia"/>
                <w:sz w:val="21"/>
                <w:lang w:val="en-US" w:eastAsia="zh-CN"/>
              </w:rPr>
              <w:t>PCF-H290ZI</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7D67D424">
            <w:pPr>
              <w:pStyle w:val="4"/>
              <w:spacing w:before="92"/>
              <w:ind w:left="358" w:right="348"/>
              <w:jc w:val="center"/>
              <w:rPr>
                <w:rFonts w:hint="default" w:eastAsia="宋体"/>
                <w:sz w:val="21"/>
                <w:lang w:val="en-US" w:eastAsia="zh-CN"/>
              </w:rPr>
            </w:pPr>
            <w:r>
              <w:rPr>
                <w:rFonts w:hint="eastAsia"/>
                <w:sz w:val="21"/>
                <w:lang w:val="en-US" w:eastAsia="zh-CN"/>
              </w:rPr>
              <w:t>2124961</w:t>
            </w:r>
          </w:p>
        </w:tc>
        <w:tc>
          <w:tcPr>
            <w:tcW w:w="1180" w:type="pct"/>
            <w:vMerge w:val="continue"/>
            <w:tcBorders>
              <w:left w:val="single" w:color="000000" w:sz="4" w:space="0"/>
              <w:right w:val="single" w:color="000000" w:sz="4" w:space="0"/>
            </w:tcBorders>
            <w:noWrap w:val="0"/>
            <w:vAlign w:val="top"/>
          </w:tcPr>
          <w:p w14:paraId="03434D64">
            <w:pPr>
              <w:pStyle w:val="4"/>
              <w:spacing w:before="92"/>
              <w:ind w:left="358" w:right="348"/>
              <w:jc w:val="center"/>
              <w:rPr>
                <w:rFonts w:hint="eastAsia"/>
                <w:sz w:val="21"/>
                <w:lang w:val="en-US" w:eastAsia="zh-CN"/>
              </w:rPr>
            </w:pPr>
          </w:p>
        </w:tc>
      </w:tr>
      <w:tr w14:paraId="4300950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949" w:type="pct"/>
            <w:tcBorders>
              <w:top w:val="single" w:color="000000" w:sz="4" w:space="0"/>
              <w:bottom w:val="single" w:color="000000" w:sz="4" w:space="0"/>
              <w:right w:val="single" w:color="000000" w:sz="4" w:space="0"/>
            </w:tcBorders>
            <w:noWrap w:val="0"/>
            <w:vAlign w:val="top"/>
          </w:tcPr>
          <w:p w14:paraId="21D40E6E">
            <w:pPr>
              <w:pStyle w:val="4"/>
              <w:spacing w:before="91"/>
              <w:ind w:left="97"/>
              <w:jc w:val="center"/>
              <w:rPr>
                <w:rFonts w:hint="eastAsia" w:eastAsia="宋体"/>
                <w:sz w:val="21"/>
                <w:lang w:eastAsia="zh-CN"/>
              </w:rPr>
            </w:pPr>
            <w:r>
              <w:rPr>
                <w:rFonts w:hint="eastAsia"/>
                <w:sz w:val="21"/>
                <w:lang w:val="en-US" w:eastAsia="zh-CN"/>
              </w:rPr>
              <w:t>支气管镜</w:t>
            </w:r>
          </w:p>
        </w:tc>
        <w:tc>
          <w:tcPr>
            <w:tcW w:w="868" w:type="pct"/>
            <w:tcBorders>
              <w:top w:val="single" w:color="000000" w:sz="4" w:space="0"/>
              <w:left w:val="single" w:color="000000" w:sz="4" w:space="0"/>
              <w:bottom w:val="single" w:color="000000" w:sz="4" w:space="0"/>
              <w:right w:val="single" w:color="000000" w:sz="4" w:space="0"/>
            </w:tcBorders>
            <w:noWrap w:val="0"/>
            <w:vAlign w:val="top"/>
          </w:tcPr>
          <w:p w14:paraId="29C0B298">
            <w:pPr>
              <w:pStyle w:val="4"/>
              <w:spacing w:before="91"/>
              <w:ind w:left="85" w:right="81"/>
              <w:jc w:val="center"/>
              <w:rPr>
                <w:sz w:val="21"/>
              </w:rPr>
            </w:pPr>
            <w:r>
              <w:rPr>
                <w:sz w:val="21"/>
              </w:rPr>
              <w:t>奥林巴斯</w:t>
            </w:r>
          </w:p>
        </w:tc>
        <w:tc>
          <w:tcPr>
            <w:tcW w:w="953" w:type="pct"/>
            <w:tcBorders>
              <w:top w:val="single" w:color="000000" w:sz="4" w:space="0"/>
              <w:left w:val="single" w:color="000000" w:sz="4" w:space="0"/>
              <w:bottom w:val="single" w:color="000000" w:sz="4" w:space="0"/>
              <w:right w:val="single" w:color="000000" w:sz="4" w:space="0"/>
            </w:tcBorders>
            <w:noWrap w:val="0"/>
            <w:vAlign w:val="top"/>
          </w:tcPr>
          <w:p w14:paraId="4D22C7D2">
            <w:pPr>
              <w:pStyle w:val="4"/>
              <w:spacing w:before="91"/>
              <w:ind w:left="106"/>
              <w:jc w:val="center"/>
              <w:rPr>
                <w:rFonts w:hint="default" w:eastAsia="宋体"/>
                <w:sz w:val="21"/>
                <w:lang w:val="en-US" w:eastAsia="zh-CN"/>
              </w:rPr>
            </w:pPr>
            <w:r>
              <w:rPr>
                <w:rFonts w:hint="eastAsia"/>
                <w:sz w:val="21"/>
                <w:lang w:val="en-US" w:eastAsia="zh-CN"/>
              </w:rPr>
              <w:t>BF-Q290</w:t>
            </w:r>
          </w:p>
        </w:tc>
        <w:tc>
          <w:tcPr>
            <w:tcW w:w="1048" w:type="pct"/>
            <w:tcBorders>
              <w:top w:val="single" w:color="000000" w:sz="4" w:space="0"/>
              <w:left w:val="single" w:color="000000" w:sz="4" w:space="0"/>
              <w:bottom w:val="single" w:color="000000" w:sz="4" w:space="0"/>
              <w:right w:val="single" w:color="000000" w:sz="4" w:space="0"/>
            </w:tcBorders>
            <w:noWrap w:val="0"/>
            <w:vAlign w:val="top"/>
          </w:tcPr>
          <w:p w14:paraId="6E349D78">
            <w:pPr>
              <w:pStyle w:val="4"/>
              <w:spacing w:before="91"/>
              <w:ind w:left="358" w:right="348"/>
              <w:jc w:val="center"/>
              <w:rPr>
                <w:rFonts w:hint="default" w:eastAsia="宋体"/>
                <w:sz w:val="21"/>
                <w:lang w:val="en-US" w:eastAsia="zh-CN"/>
              </w:rPr>
            </w:pPr>
            <w:r>
              <w:rPr>
                <w:rFonts w:hint="eastAsia"/>
                <w:sz w:val="21"/>
                <w:lang w:val="en-US" w:eastAsia="zh-CN"/>
              </w:rPr>
              <w:t>2122422</w:t>
            </w:r>
          </w:p>
        </w:tc>
        <w:tc>
          <w:tcPr>
            <w:tcW w:w="1180" w:type="pct"/>
            <w:vMerge w:val="continue"/>
            <w:tcBorders>
              <w:left w:val="single" w:color="000000" w:sz="4" w:space="0"/>
              <w:bottom w:val="single" w:color="000000" w:sz="4" w:space="0"/>
              <w:right w:val="single" w:color="000000" w:sz="4" w:space="0"/>
            </w:tcBorders>
            <w:noWrap w:val="0"/>
            <w:vAlign w:val="top"/>
          </w:tcPr>
          <w:p w14:paraId="4EF14444">
            <w:pPr>
              <w:pStyle w:val="4"/>
              <w:spacing w:before="91"/>
              <w:ind w:left="358" w:right="348"/>
              <w:jc w:val="center"/>
              <w:rPr>
                <w:sz w:val="21"/>
              </w:rPr>
            </w:pPr>
          </w:p>
        </w:tc>
      </w:tr>
    </w:tbl>
    <w:p w14:paraId="2981611E">
      <w:pPr>
        <w:widowControl w:val="0"/>
        <w:numPr>
          <w:ilvl w:val="0"/>
          <w:numId w:val="0"/>
        </w:numPr>
        <w:jc w:val="both"/>
        <w:rPr>
          <w:rFonts w:hint="eastAsia"/>
        </w:rPr>
      </w:pPr>
    </w:p>
    <w:p w14:paraId="556BCCA3">
      <w:pPr>
        <w:numPr>
          <w:ilvl w:val="0"/>
          <w:numId w:val="1"/>
        </w:numPr>
        <w:rPr>
          <w:rFonts w:hint="eastAsia"/>
        </w:rPr>
      </w:pPr>
      <w:r>
        <w:rPr>
          <w:rFonts w:hint="eastAsia"/>
        </w:rPr>
        <w:t>维保服务期3 年</w:t>
      </w:r>
      <w:r>
        <w:rPr>
          <w:rFonts w:hint="eastAsia"/>
          <w:lang w:eastAsia="zh-CN"/>
        </w:rPr>
        <w:t>（</w:t>
      </w:r>
      <w:r>
        <w:rPr>
          <w:rFonts w:hint="eastAsia"/>
          <w:lang w:val="en-US" w:eastAsia="zh-CN"/>
        </w:rPr>
        <w:t>预算25万/年</w:t>
      </w:r>
      <w:r>
        <w:rPr>
          <w:rFonts w:hint="eastAsia"/>
          <w:lang w:eastAsia="zh-CN"/>
        </w:rPr>
        <w:t>）</w:t>
      </w:r>
      <w:bookmarkStart w:id="0" w:name="_GoBack"/>
      <w:bookmarkEnd w:id="0"/>
    </w:p>
    <w:p w14:paraId="519C4DBB">
      <w:pPr>
        <w:numPr>
          <w:ilvl w:val="0"/>
          <w:numId w:val="1"/>
        </w:numPr>
        <w:rPr>
          <w:rFonts w:hint="eastAsia"/>
        </w:rPr>
      </w:pPr>
      <w:r>
        <w:rPr>
          <w:rFonts w:hint="eastAsia"/>
          <w:lang w:val="en-US" w:eastAsia="zh-CN"/>
        </w:rPr>
        <w:t>维保服务要求</w:t>
      </w:r>
    </w:p>
    <w:p w14:paraId="0E1A2E58">
      <w:pPr>
        <w:numPr>
          <w:ilvl w:val="0"/>
          <w:numId w:val="0"/>
        </w:numPr>
        <w:rPr>
          <w:rFonts w:hint="eastAsia"/>
          <w:lang w:val="en-US" w:eastAsia="zh-CN"/>
        </w:rPr>
      </w:pPr>
      <w:r>
        <w:rPr>
          <w:rFonts w:hint="eastAsia"/>
          <w:lang w:val="en-US" w:eastAsia="zh-CN"/>
        </w:rPr>
        <w:t>3.1维保方案：5 条奥林巴斯电子内窥镜全保修, 含主机保修。</w:t>
      </w:r>
    </w:p>
    <w:p w14:paraId="560F8E1F">
      <w:pPr>
        <w:numPr>
          <w:ilvl w:val="0"/>
          <w:numId w:val="0"/>
        </w:numPr>
        <w:rPr>
          <w:rFonts w:hint="eastAsia"/>
          <w:lang w:val="en-US" w:eastAsia="zh-CN"/>
        </w:rPr>
      </w:pPr>
      <w:r>
        <w:rPr>
          <w:rFonts w:hint="eastAsia"/>
          <w:lang w:val="en-US" w:eastAsia="zh-CN"/>
        </w:rPr>
        <w:t>3.2开机率保证：保证保修期内开机率至少达到 95%。如开机率达不到要求，每超过一天保修期相应延长 10 天。</w:t>
      </w:r>
    </w:p>
    <w:p w14:paraId="0B237B17">
      <w:pPr>
        <w:numPr>
          <w:ilvl w:val="0"/>
          <w:numId w:val="0"/>
        </w:numPr>
        <w:rPr>
          <w:rFonts w:hint="eastAsia"/>
          <w:lang w:val="en-US" w:eastAsia="zh-CN"/>
        </w:rPr>
      </w:pPr>
      <w:r>
        <w:rPr>
          <w:rFonts w:hint="eastAsia"/>
          <w:lang w:val="en-US" w:eastAsia="zh-CN"/>
        </w:rPr>
        <w:t>3.3响应时间：接到报修电话后 30 分钟内提供专业工程师电话支持。如需派工上门，1 小时内确认派工信息和工程师到达医院所在地时间。自接报修电话始，专业工程师 24 小</w:t>
      </w:r>
    </w:p>
    <w:p w14:paraId="229C3F02">
      <w:pPr>
        <w:numPr>
          <w:ilvl w:val="0"/>
          <w:numId w:val="0"/>
        </w:numPr>
        <w:rPr>
          <w:rFonts w:hint="eastAsia"/>
          <w:lang w:val="en-US" w:eastAsia="zh-CN"/>
        </w:rPr>
      </w:pPr>
      <w:r>
        <w:rPr>
          <w:rFonts w:hint="eastAsia"/>
          <w:lang w:val="en-US" w:eastAsia="zh-CN"/>
        </w:rPr>
        <w:t>时内抵达故障现场。</w:t>
      </w:r>
    </w:p>
    <w:p w14:paraId="131A4B22">
      <w:pPr>
        <w:numPr>
          <w:ilvl w:val="0"/>
          <w:numId w:val="0"/>
        </w:numPr>
        <w:rPr>
          <w:rFonts w:hint="eastAsia"/>
          <w:lang w:val="en-US" w:eastAsia="zh-CN"/>
        </w:rPr>
      </w:pPr>
      <w:r>
        <w:rPr>
          <w:rFonts w:hint="eastAsia"/>
          <w:lang w:val="en-US" w:eastAsia="zh-CN"/>
        </w:rPr>
        <w:t>3.4紧急维修响应：紧急维修上门时间不局限于工作日上班时间，需要紧急维修时工程师应在 8 小时内抵达故障现场。</w:t>
      </w:r>
    </w:p>
    <w:p w14:paraId="4E5A46F1">
      <w:pPr>
        <w:numPr>
          <w:ilvl w:val="0"/>
          <w:numId w:val="0"/>
        </w:numPr>
        <w:rPr>
          <w:rFonts w:hint="eastAsia"/>
          <w:lang w:val="en-US" w:eastAsia="zh-CN"/>
        </w:rPr>
      </w:pPr>
      <w:r>
        <w:rPr>
          <w:rFonts w:hint="eastAsia"/>
          <w:lang w:val="en-US" w:eastAsia="zh-CN"/>
        </w:rPr>
        <w:t>3.5修复时间：单次故障最长修复时间在 7 个工作日之内。如修复时间达不到要求，维修公司应提供备用镜。</w:t>
      </w:r>
    </w:p>
    <w:p w14:paraId="05246FFC">
      <w:pPr>
        <w:numPr>
          <w:ilvl w:val="0"/>
          <w:numId w:val="0"/>
        </w:numPr>
        <w:rPr>
          <w:rFonts w:hint="eastAsia"/>
          <w:lang w:val="en-US" w:eastAsia="zh-CN"/>
        </w:rPr>
      </w:pPr>
      <w:r>
        <w:rPr>
          <w:rFonts w:hint="eastAsia"/>
          <w:lang w:val="en-US" w:eastAsia="zh-CN"/>
        </w:rPr>
        <w:t>3.6配件更换：维修过程中需要更换零配件时，应保证所提供的零配件是全新原厂配件，且配件来源及渠道具备合法性。</w:t>
      </w:r>
    </w:p>
    <w:p w14:paraId="28DD7556">
      <w:pPr>
        <w:numPr>
          <w:ilvl w:val="0"/>
          <w:numId w:val="0"/>
        </w:numPr>
        <w:rPr>
          <w:rFonts w:hint="default"/>
          <w:lang w:val="en-US" w:eastAsia="zh-CN"/>
        </w:rPr>
      </w:pPr>
      <w:r>
        <w:rPr>
          <w:rFonts w:hint="eastAsia"/>
          <w:lang w:val="en-US" w:eastAsia="zh-CN"/>
        </w:rPr>
        <w:t>3.7</w:t>
      </w:r>
      <w:r>
        <w:rPr>
          <w:rFonts w:hint="default"/>
          <w:lang w:val="en-US" w:eastAsia="zh-CN"/>
        </w:rPr>
        <w:t>维护保养：保修期内每年至少提供四次外科内镜维护保养，包括但不限于设备外观检查、性能检查、安全检查、影像质量检查、运行状态检查、清洁除尘保养、系统检测、校准等。入保后一周内制定设备维护保养计划，并按照计划实施。定期对设备的数据进行备份。确保系统能按照验收标准、制造商的产品 Datasheet 或国家、国际标准要求运行。设备保养前至少提前一周通知医院，具体保养实施时间根据医院具体情况商议确定。</w:t>
      </w:r>
    </w:p>
    <w:p w14:paraId="1B6D4526">
      <w:pPr>
        <w:numPr>
          <w:ilvl w:val="0"/>
          <w:numId w:val="0"/>
        </w:numPr>
        <w:rPr>
          <w:rFonts w:hint="eastAsia"/>
          <w:lang w:val="en-US" w:eastAsia="zh-CN"/>
        </w:rPr>
      </w:pPr>
      <w:r>
        <w:rPr>
          <w:rFonts w:hint="eastAsia"/>
          <w:lang w:val="en-US" w:eastAsia="zh-CN"/>
        </w:rPr>
        <w:t>3.8每次维修保养完成后，维修工程师应向院方分管工程师提供经设备使用科室签字确认的书面维修保养报告一份（扫描稿或复印件）。</w:t>
      </w:r>
    </w:p>
    <w:p w14:paraId="2EC00B5B">
      <w:pPr>
        <w:numPr>
          <w:ilvl w:val="0"/>
          <w:numId w:val="0"/>
        </w:numPr>
        <w:rPr>
          <w:rFonts w:hint="eastAsia"/>
          <w:lang w:val="en-US" w:eastAsia="zh-CN"/>
        </w:rPr>
      </w:pPr>
      <w:r>
        <w:rPr>
          <w:rFonts w:hint="eastAsia"/>
          <w:lang w:val="en-US" w:eastAsia="zh-CN"/>
        </w:rPr>
        <w:t>3.9档案管理：设备入保后， 建立《医疗设备保修档案册》，该档案册由设备使用科室保管，公司工程师每次维修保养机器时予以更新。《医疗设备保修档案册》内容包括保修合同、设备信息、保养维护报告、检测报告、维修报告、配件更换明细等，方便医院随时了解在保设</w:t>
      </w:r>
    </w:p>
    <w:p w14:paraId="207007EB">
      <w:pPr>
        <w:numPr>
          <w:ilvl w:val="0"/>
          <w:numId w:val="0"/>
        </w:numPr>
        <w:rPr>
          <w:rFonts w:hint="eastAsia"/>
          <w:lang w:val="en-US" w:eastAsia="zh-CN"/>
        </w:rPr>
      </w:pPr>
      <w:r>
        <w:rPr>
          <w:rFonts w:hint="eastAsia"/>
          <w:lang w:val="en-US" w:eastAsia="zh-CN"/>
        </w:rPr>
        <w:t>备情况。</w:t>
      </w:r>
    </w:p>
    <w:p w14:paraId="21B59F67">
      <w:pPr>
        <w:numPr>
          <w:ilvl w:val="0"/>
          <w:numId w:val="0"/>
        </w:numPr>
        <w:rPr>
          <w:rFonts w:hint="eastAsia"/>
          <w:lang w:val="en-US" w:eastAsia="zh-CN"/>
        </w:rPr>
      </w:pPr>
      <w:r>
        <w:rPr>
          <w:rFonts w:hint="eastAsia"/>
          <w:lang w:val="en-US" w:eastAsia="zh-CN"/>
        </w:rPr>
        <w:t>3.10年度检测报告：保修期内每年度提供一份公司盖章的内镜性能检测报告。</w:t>
      </w:r>
    </w:p>
    <w:p w14:paraId="0604B3FC">
      <w:pPr>
        <w:numPr>
          <w:ilvl w:val="0"/>
          <w:numId w:val="0"/>
        </w:numPr>
        <w:rPr>
          <w:rFonts w:hint="eastAsia"/>
          <w:lang w:val="en-US" w:eastAsia="zh-CN"/>
        </w:rPr>
      </w:pPr>
      <w:r>
        <w:rPr>
          <w:rFonts w:hint="eastAsia"/>
          <w:lang w:val="en-US" w:eastAsia="zh-CN"/>
        </w:rPr>
        <w:t>3.11软硬件安全升级：在保修服务期内免费提供设备的软硬件安全升级，免费提供设备的系统软件升级和技术支持，以提高设备的安全性和性能。并提供所有升级资料和记录。</w:t>
      </w:r>
    </w:p>
    <w:p w14:paraId="1ACF3C65">
      <w:pPr>
        <w:numPr>
          <w:ilvl w:val="0"/>
          <w:numId w:val="1"/>
        </w:numPr>
        <w:ind w:left="0" w:leftChars="0" w:firstLine="0" w:firstLineChars="0"/>
        <w:rPr>
          <w:rFonts w:hint="eastAsia"/>
          <w:lang w:val="en-US" w:eastAsia="zh-CN"/>
        </w:rPr>
      </w:pPr>
      <w:r>
        <w:rPr>
          <w:rFonts w:hint="eastAsia"/>
          <w:lang w:val="en-US" w:eastAsia="zh-CN"/>
        </w:rPr>
        <w:t>商务要求及其它</w:t>
      </w:r>
    </w:p>
    <w:p w14:paraId="6B000912">
      <w:pPr>
        <w:numPr>
          <w:ilvl w:val="0"/>
          <w:numId w:val="0"/>
        </w:numPr>
        <w:ind w:leftChars="0"/>
        <w:rPr>
          <w:rFonts w:hint="eastAsia"/>
          <w:lang w:val="en-US" w:eastAsia="zh-CN"/>
        </w:rPr>
      </w:pPr>
      <w:r>
        <w:rPr>
          <w:rFonts w:hint="eastAsia"/>
          <w:lang w:val="en-US" w:eastAsia="zh-CN"/>
        </w:rPr>
        <w:t>4.1公司资质：投标单位必须具有厂家维修代理授权， 或是专门从事同类设备维修的第三方公司。</w:t>
      </w:r>
    </w:p>
    <w:p w14:paraId="63FDEC10">
      <w:pPr>
        <w:numPr>
          <w:ilvl w:val="0"/>
          <w:numId w:val="0"/>
        </w:numPr>
        <w:ind w:leftChars="0"/>
        <w:rPr>
          <w:rFonts w:hint="eastAsia"/>
          <w:lang w:val="en-US" w:eastAsia="zh-CN"/>
        </w:rPr>
      </w:pPr>
      <w:r>
        <w:rPr>
          <w:rFonts w:hint="eastAsia"/>
          <w:lang w:val="en-US" w:eastAsia="zh-CN"/>
        </w:rPr>
        <w:t>4.2备件库：具有中国境内的备件库，提供地点。</w:t>
      </w:r>
    </w:p>
    <w:p w14:paraId="6CC49073">
      <w:pPr>
        <w:numPr>
          <w:ilvl w:val="0"/>
          <w:numId w:val="0"/>
        </w:numPr>
        <w:ind w:leftChars="0"/>
        <w:rPr>
          <w:rFonts w:hint="eastAsia"/>
          <w:lang w:val="en-US" w:eastAsia="zh-CN"/>
        </w:rPr>
      </w:pPr>
      <w:r>
        <w:rPr>
          <w:rFonts w:hint="eastAsia"/>
          <w:lang w:val="en-US" w:eastAsia="zh-CN"/>
        </w:rPr>
        <w:t>4.3服务工程师资质：所有服务工程师必须经过相关奥林巴斯内镜维修技术培训，提供相关服务资格的人员培训合格证明。</w:t>
      </w:r>
    </w:p>
    <w:p w14:paraId="30296663">
      <w:pPr>
        <w:numPr>
          <w:ilvl w:val="0"/>
          <w:numId w:val="0"/>
        </w:numPr>
        <w:ind w:leftChars="0"/>
        <w:rPr>
          <w:rFonts w:hint="eastAsia"/>
          <w:lang w:val="en-US" w:eastAsia="zh-CN"/>
        </w:rPr>
      </w:pPr>
      <w:r>
        <w:rPr>
          <w:rFonts w:hint="eastAsia"/>
          <w:lang w:val="en-US" w:eastAsia="zh-CN"/>
        </w:rPr>
        <w:t>4.4技术维护能力：提供体现本投标公司技术维护能力的相关文件。</w:t>
      </w:r>
    </w:p>
    <w:p w14:paraId="1C5ED916">
      <w:pPr>
        <w:numPr>
          <w:ilvl w:val="0"/>
          <w:numId w:val="0"/>
        </w:numPr>
        <w:ind w:leftChars="0"/>
        <w:rPr>
          <w:rFonts w:hint="default"/>
          <w:lang w:val="en-US" w:eastAsia="zh-CN"/>
        </w:rPr>
      </w:pPr>
      <w:r>
        <w:rPr>
          <w:rFonts w:hint="eastAsia"/>
          <w:lang w:val="en-US" w:eastAsia="zh-CN"/>
        </w:rPr>
        <w:t>4.5合同续签：合同期满后如双方无异议,合同可续签一年,续签次数原则上不超过 2 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A2433"/>
    <w:multiLevelType w:val="singleLevel"/>
    <w:tmpl w:val="74FA24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B5AF9"/>
    <w:rsid w:val="2EDD3F6F"/>
    <w:rsid w:val="3C534F78"/>
    <w:rsid w:val="542B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1220</Characters>
  <Lines>0</Lines>
  <Paragraphs>0</Paragraphs>
  <TotalTime>14</TotalTime>
  <ScaleCrop>false</ScaleCrop>
  <LinksUpToDate>false</LinksUpToDate>
  <CharactersWithSpaces>1241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2025-04-27T06:24:00Z</dcterms:created>
  <dc:creator>哈咯</dc:creator>
  <cp:lastModifiedBy>哈咯</cp:lastModifiedBy>
  <dcterms:modified xsi:type="dcterms:W3CDTF">2025-06-09T06:55:14Z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C3421460DF1B47BEBC4CB67836691283_11</vt:lpwstr>
  </property>
  <property fmtid="{D5CDD505-2E9C-101B-9397-08002B2CF9AE}" pid="4" name="KSOTemplateDocerSaveRecord">
    <vt:lpwstr>eyJoZGlkIjoiY2Y0YzExYTA3NzJjNTJkMWE2MjhkMWNjZGMwNDBlYmMiLCJ1c2VySWQiOiIxNjQ0NTE5MTc4In0=</vt:lpwstr>
  </property>
</Properties>
</file>