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宋体" w:hAnsi="宋体" w:cs="宋体"/>
        </w:rPr>
      </w:pPr>
      <w:bookmarkStart w:id="0" w:name="_Toc20680"/>
      <w:bookmarkStart w:id="25" w:name="_GoBack"/>
      <w:bookmarkEnd w:id="25"/>
      <w:r>
        <w:rPr>
          <w:rFonts w:hint="eastAsia" w:ascii="宋体" w:hAnsi="宋体" w:cs="宋体"/>
        </w:rPr>
        <w:t>特殊病种门诊医疗诊断标准、治疗范围及审批细则</w:t>
      </w:r>
      <w:bookmarkEnd w:id="0"/>
    </w:p>
    <w:p>
      <w:pPr>
        <w:pStyle w:val="2"/>
        <w:rPr>
          <w:color w:val="auto"/>
        </w:rPr>
      </w:pPr>
      <w:bookmarkStart w:id="1" w:name="_Toc15540"/>
      <w:r>
        <w:rPr>
          <w:rFonts w:hint="eastAsia"/>
          <w:color w:val="auto"/>
        </w:rPr>
        <w:t>特殊病种范围</w:t>
      </w:r>
      <w:bookmarkEnd w:id="1"/>
    </w:p>
    <w:p>
      <w:pPr>
        <w:ind w:firstLine="420" w:firstLineChars="200"/>
        <w:rPr>
          <w:rFonts w:ascii="宋体" w:hAnsi="宋体" w:cs="宋体"/>
          <w:szCs w:val="21"/>
        </w:rPr>
      </w:pPr>
      <w:r>
        <w:rPr>
          <w:rFonts w:hint="eastAsia" w:ascii="宋体" w:hAnsi="宋体" w:cs="宋体"/>
          <w:szCs w:val="21"/>
        </w:rPr>
        <w:t>参保人员所患疾病在下列病种范围内，且符合诊断标准的，均可申请办理特殊病种门诊：</w:t>
      </w:r>
    </w:p>
    <w:p>
      <w:pPr>
        <w:ind w:firstLine="420" w:firstLineChars="200"/>
        <w:rPr>
          <w:rFonts w:ascii="宋体" w:hAnsi="宋体" w:cs="宋体"/>
          <w:szCs w:val="21"/>
        </w:rPr>
      </w:pPr>
      <w:r>
        <w:rPr>
          <w:rFonts w:hint="eastAsia" w:ascii="宋体" w:hAnsi="宋体" w:cs="宋体"/>
          <w:szCs w:val="21"/>
        </w:rPr>
        <w:t>1．恶性肿瘤；</w:t>
      </w:r>
    </w:p>
    <w:p>
      <w:pPr>
        <w:ind w:firstLine="420" w:firstLineChars="200"/>
        <w:rPr>
          <w:rFonts w:ascii="宋体" w:hAnsi="宋体" w:cs="宋体"/>
          <w:szCs w:val="21"/>
        </w:rPr>
      </w:pPr>
      <w:r>
        <w:rPr>
          <w:rFonts w:hint="eastAsia" w:ascii="宋体" w:hAnsi="宋体" w:cs="宋体"/>
          <w:szCs w:val="21"/>
        </w:rPr>
        <w:t>2．</w:t>
      </w:r>
      <w:r>
        <w:rPr>
          <w:rFonts w:hint="eastAsia" w:ascii="宋体" w:hAnsi="宋体" w:cs="宋体"/>
          <w:color w:val="0000FF"/>
          <w:szCs w:val="21"/>
          <w:lang w:eastAsia="zh-CN"/>
        </w:rPr>
        <w:t>重症</w:t>
      </w:r>
      <w:r>
        <w:rPr>
          <w:rFonts w:hint="eastAsia" w:ascii="宋体" w:hAnsi="宋体" w:cs="宋体"/>
          <w:szCs w:val="21"/>
        </w:rPr>
        <w:t>尿毒症透析治疗；</w:t>
      </w:r>
    </w:p>
    <w:p>
      <w:pPr>
        <w:ind w:firstLine="420" w:firstLineChars="200"/>
        <w:rPr>
          <w:rFonts w:ascii="宋体" w:hAnsi="宋体" w:cs="宋体"/>
          <w:szCs w:val="21"/>
        </w:rPr>
      </w:pPr>
      <w:r>
        <w:rPr>
          <w:rFonts w:hint="eastAsia" w:ascii="宋体" w:hAnsi="宋体" w:cs="宋体"/>
          <w:szCs w:val="21"/>
        </w:rPr>
        <w:t>3．组织或器官移植后抗排异治疗；</w:t>
      </w:r>
    </w:p>
    <w:p>
      <w:pPr>
        <w:ind w:firstLine="420" w:firstLineChars="200"/>
        <w:rPr>
          <w:rFonts w:ascii="宋体" w:hAnsi="宋体" w:cs="宋体"/>
          <w:szCs w:val="21"/>
        </w:rPr>
      </w:pPr>
      <w:r>
        <w:rPr>
          <w:rFonts w:hint="eastAsia" w:ascii="宋体" w:hAnsi="宋体" w:cs="宋体"/>
          <w:szCs w:val="21"/>
        </w:rPr>
        <w:t>4．失代偿期肝硬化；</w:t>
      </w:r>
    </w:p>
    <w:p>
      <w:pPr>
        <w:ind w:firstLine="420" w:firstLineChars="200"/>
        <w:rPr>
          <w:rFonts w:ascii="宋体" w:hAnsi="宋体" w:cs="宋体"/>
          <w:szCs w:val="21"/>
        </w:rPr>
      </w:pPr>
      <w:r>
        <w:rPr>
          <w:rFonts w:hint="eastAsia" w:ascii="宋体" w:hAnsi="宋体" w:cs="宋体"/>
          <w:szCs w:val="21"/>
        </w:rPr>
        <w:t>5．再生障碍性贫血；</w:t>
      </w:r>
    </w:p>
    <w:p>
      <w:pPr>
        <w:ind w:firstLine="420" w:firstLineChars="200"/>
        <w:rPr>
          <w:rFonts w:ascii="宋体" w:hAnsi="宋体" w:cs="宋体"/>
          <w:szCs w:val="21"/>
        </w:rPr>
      </w:pPr>
      <w:r>
        <w:rPr>
          <w:rFonts w:hint="eastAsia" w:ascii="宋体" w:hAnsi="宋体" w:cs="宋体"/>
          <w:szCs w:val="21"/>
        </w:rPr>
        <w:t>6．系统性红斑狼疮；</w:t>
      </w:r>
    </w:p>
    <w:p>
      <w:pPr>
        <w:ind w:firstLine="420" w:firstLineChars="200"/>
        <w:rPr>
          <w:rFonts w:ascii="宋体" w:hAnsi="宋体" w:cs="宋体"/>
          <w:szCs w:val="21"/>
        </w:rPr>
      </w:pPr>
      <w:r>
        <w:rPr>
          <w:rFonts w:hint="eastAsia" w:ascii="宋体" w:hAnsi="宋体" w:cs="宋体"/>
          <w:szCs w:val="21"/>
        </w:rPr>
        <w:t>7．精神病；</w:t>
      </w:r>
    </w:p>
    <w:p>
      <w:pPr>
        <w:ind w:firstLine="420" w:firstLineChars="200"/>
        <w:rPr>
          <w:rFonts w:ascii="宋体" w:hAnsi="宋体" w:cs="宋体"/>
          <w:szCs w:val="21"/>
        </w:rPr>
      </w:pPr>
      <w:r>
        <w:rPr>
          <w:rFonts w:hint="eastAsia" w:ascii="宋体" w:hAnsi="宋体" w:cs="宋体"/>
          <w:szCs w:val="21"/>
        </w:rPr>
        <w:t>8．血友病；</w:t>
      </w:r>
    </w:p>
    <w:p>
      <w:pPr>
        <w:ind w:firstLine="420" w:firstLineChars="200"/>
        <w:rPr>
          <w:rFonts w:ascii="宋体" w:hAnsi="宋体" w:cs="宋体"/>
          <w:szCs w:val="21"/>
        </w:rPr>
      </w:pPr>
      <w:r>
        <w:rPr>
          <w:rFonts w:hint="eastAsia" w:ascii="宋体" w:hAnsi="宋体" w:cs="宋体"/>
          <w:szCs w:val="21"/>
        </w:rPr>
        <w:t>9．糖尿病合并并发症；</w:t>
      </w:r>
    </w:p>
    <w:p>
      <w:pPr>
        <w:ind w:firstLine="420" w:firstLineChars="200"/>
        <w:rPr>
          <w:rFonts w:ascii="宋体" w:hAnsi="宋体" w:cs="宋体"/>
          <w:szCs w:val="21"/>
        </w:rPr>
      </w:pPr>
      <w:r>
        <w:rPr>
          <w:rFonts w:hint="eastAsia" w:ascii="宋体" w:hAnsi="宋体" w:cs="宋体"/>
          <w:szCs w:val="21"/>
        </w:rPr>
        <w:t>10．高血压病合并并发症；</w:t>
      </w:r>
    </w:p>
    <w:p>
      <w:pPr>
        <w:ind w:firstLine="420" w:firstLineChars="200"/>
        <w:rPr>
          <w:rFonts w:ascii="宋体" w:hAnsi="宋体" w:cs="宋体"/>
          <w:szCs w:val="21"/>
        </w:rPr>
      </w:pPr>
      <w:r>
        <w:rPr>
          <w:rFonts w:hint="eastAsia" w:ascii="宋体" w:hAnsi="宋体" w:cs="宋体"/>
          <w:szCs w:val="21"/>
        </w:rPr>
        <w:t>11．慢性病毒性肝炎；</w:t>
      </w:r>
    </w:p>
    <w:p>
      <w:pPr>
        <w:ind w:firstLine="420" w:firstLineChars="200"/>
        <w:rPr>
          <w:rFonts w:ascii="宋体" w:hAnsi="宋体" w:cs="宋体"/>
          <w:szCs w:val="21"/>
        </w:rPr>
      </w:pPr>
      <w:r>
        <w:rPr>
          <w:rFonts w:hint="eastAsia" w:ascii="宋体" w:hAnsi="宋体" w:cs="宋体"/>
          <w:szCs w:val="21"/>
        </w:rPr>
        <w:t>12．帕金森氏病；</w:t>
      </w:r>
    </w:p>
    <w:p>
      <w:pPr>
        <w:ind w:firstLine="420" w:firstLineChars="200"/>
        <w:rPr>
          <w:rFonts w:ascii="宋体" w:hAnsi="宋体" w:cs="宋体"/>
          <w:szCs w:val="21"/>
        </w:rPr>
      </w:pPr>
      <w:r>
        <w:rPr>
          <w:rFonts w:hint="eastAsia" w:ascii="宋体" w:hAnsi="宋体" w:cs="宋体"/>
          <w:szCs w:val="21"/>
        </w:rPr>
        <w:t>13．矽肺病；</w:t>
      </w:r>
    </w:p>
    <w:p>
      <w:pPr>
        <w:ind w:firstLine="420" w:firstLineChars="200"/>
        <w:rPr>
          <w:rFonts w:ascii="宋体" w:hAnsi="宋体" w:cs="宋体"/>
          <w:szCs w:val="21"/>
        </w:rPr>
      </w:pPr>
      <w:r>
        <w:rPr>
          <w:rFonts w:hint="eastAsia" w:ascii="宋体" w:hAnsi="宋体" w:cs="宋体"/>
          <w:szCs w:val="21"/>
        </w:rPr>
        <w:t>14．肺结核；</w:t>
      </w:r>
    </w:p>
    <w:p>
      <w:pPr>
        <w:ind w:firstLine="420" w:firstLineChars="200"/>
        <w:rPr>
          <w:rFonts w:ascii="宋体" w:hAnsi="宋体" w:cs="宋体"/>
          <w:szCs w:val="21"/>
        </w:rPr>
      </w:pPr>
      <w:r>
        <w:rPr>
          <w:rFonts w:hint="eastAsia" w:ascii="宋体" w:hAnsi="宋体" w:cs="宋体"/>
          <w:szCs w:val="21"/>
        </w:rPr>
        <w:t>15．慢性肾功能不全(非透析治疗)；</w:t>
      </w:r>
    </w:p>
    <w:p>
      <w:pPr>
        <w:ind w:firstLine="420" w:firstLineChars="200"/>
        <w:rPr>
          <w:rFonts w:ascii="宋体" w:hAnsi="宋体" w:cs="宋体"/>
          <w:szCs w:val="21"/>
        </w:rPr>
      </w:pPr>
      <w:r>
        <w:rPr>
          <w:rFonts w:hint="eastAsia" w:ascii="宋体" w:hAnsi="宋体" w:cs="宋体"/>
          <w:szCs w:val="21"/>
        </w:rPr>
        <w:t>16．冠心病血运重建术后。</w:t>
      </w:r>
    </w:p>
    <w:p>
      <w:pPr>
        <w:ind w:firstLine="420" w:firstLineChars="200"/>
        <w:rPr>
          <w:rFonts w:ascii="宋体" w:hAnsi="宋体" w:cs="宋体"/>
          <w:szCs w:val="21"/>
        </w:rPr>
      </w:pPr>
      <w:r>
        <w:rPr>
          <w:rFonts w:hint="eastAsia" w:ascii="宋体" w:hAnsi="宋体" w:cs="宋体"/>
          <w:szCs w:val="21"/>
        </w:rPr>
        <w:t>17. 苯丙酮尿症；</w:t>
      </w:r>
    </w:p>
    <w:p>
      <w:pPr>
        <w:ind w:firstLine="420" w:firstLineChars="200"/>
        <w:rPr>
          <w:rFonts w:ascii="宋体" w:hAnsi="宋体" w:cs="宋体"/>
          <w:szCs w:val="21"/>
        </w:rPr>
      </w:pPr>
      <w:r>
        <w:rPr>
          <w:rFonts w:hint="eastAsia" w:ascii="宋体" w:hAnsi="宋体" w:cs="宋体"/>
          <w:szCs w:val="21"/>
        </w:rPr>
        <w:t>18.儿童孤独症；</w:t>
      </w:r>
    </w:p>
    <w:p>
      <w:pPr>
        <w:ind w:firstLine="420" w:firstLineChars="200"/>
        <w:rPr>
          <w:rFonts w:ascii="宋体" w:hAnsi="宋体" w:cs="宋体"/>
          <w:szCs w:val="21"/>
        </w:rPr>
      </w:pPr>
      <w:r>
        <w:rPr>
          <w:rFonts w:hint="eastAsia" w:ascii="宋体" w:hAnsi="宋体" w:cs="宋体"/>
          <w:szCs w:val="21"/>
        </w:rPr>
        <w:t>19.脑瘫、截瘫、偏瘫及聋儿语训、自闭症儿童康复训练等残疾人康复项目；</w:t>
      </w:r>
    </w:p>
    <w:p>
      <w:pPr>
        <w:ind w:firstLine="420" w:firstLineChars="200"/>
        <w:rPr>
          <w:rFonts w:ascii="方正姚体" w:hAnsi="宋体" w:eastAsia="方正姚体" w:cs="宋体"/>
          <w:color w:val="FF0000"/>
          <w:szCs w:val="21"/>
        </w:rPr>
      </w:pPr>
      <w:r>
        <w:rPr>
          <w:rFonts w:hint="eastAsia" w:ascii="方正姚体" w:hAnsi="宋体" w:eastAsia="方正姚体" w:cs="宋体"/>
          <w:color w:val="FF0000"/>
          <w:szCs w:val="21"/>
        </w:rPr>
        <w:t>20.支气管哮喘；</w:t>
      </w:r>
    </w:p>
    <w:p>
      <w:pPr>
        <w:ind w:firstLine="420" w:firstLineChars="200"/>
        <w:rPr>
          <w:rFonts w:ascii="方正姚体" w:hAnsi="宋体" w:eastAsia="方正姚体" w:cs="宋体"/>
          <w:color w:val="FF0000"/>
          <w:szCs w:val="21"/>
        </w:rPr>
      </w:pPr>
      <w:r>
        <w:rPr>
          <w:rFonts w:hint="eastAsia" w:ascii="方正姚体" w:hAnsi="宋体" w:eastAsia="方正姚体" w:cs="宋体"/>
          <w:color w:val="FF0000"/>
          <w:szCs w:val="21"/>
        </w:rPr>
        <w:t>21.慢性阻塞性肺疾病；</w:t>
      </w:r>
    </w:p>
    <w:p>
      <w:pPr>
        <w:ind w:left="630" w:leftChars="200" w:hanging="210" w:hangingChars="100"/>
        <w:rPr>
          <w:rFonts w:ascii="方正姚体" w:hAnsi="宋体" w:eastAsia="方正姚体" w:cs="宋体"/>
          <w:color w:val="FF0000"/>
          <w:szCs w:val="21"/>
        </w:rPr>
      </w:pPr>
      <w:r>
        <w:rPr>
          <w:rFonts w:hint="eastAsia" w:ascii="方正姚体" w:hAnsi="宋体" w:eastAsia="方正姚体" w:cs="宋体"/>
          <w:color w:val="FF0000"/>
          <w:szCs w:val="21"/>
        </w:rPr>
        <w:t>22.阿尔茨海默病（疾病诊断书限二甲</w:t>
      </w:r>
      <w:r>
        <w:rPr>
          <w:rFonts w:hint="eastAsia" w:ascii="方正姚体" w:hAnsi="宋体" w:eastAsia="方正姚体" w:cs="宋体"/>
          <w:color w:val="FF0000"/>
          <w:szCs w:val="21"/>
          <w:lang w:eastAsia="zh-CN"/>
        </w:rPr>
        <w:t>及</w:t>
      </w:r>
      <w:r>
        <w:rPr>
          <w:rFonts w:hint="eastAsia" w:ascii="方正姚体" w:hAnsi="宋体" w:eastAsia="方正姚体" w:cs="宋体"/>
          <w:color w:val="FF0000"/>
          <w:szCs w:val="21"/>
        </w:rPr>
        <w:t>以上医院</w:t>
      </w:r>
      <w:r>
        <w:rPr>
          <w:rFonts w:hint="eastAsia" w:ascii="方正姚体" w:hAnsi="宋体" w:eastAsia="方正姚体" w:cs="宋体"/>
          <w:color w:val="FF0000"/>
          <w:szCs w:val="21"/>
          <w:lang w:eastAsia="zh-CN"/>
        </w:rPr>
        <w:t>神经、精神专科副高及以上或科主任医师</w:t>
      </w:r>
      <w:r>
        <w:rPr>
          <w:rFonts w:hint="eastAsia" w:ascii="方正姚体" w:hAnsi="宋体" w:eastAsia="方正姚体" w:cs="宋体"/>
          <w:color w:val="FF0000"/>
          <w:szCs w:val="21"/>
        </w:rPr>
        <w:t>出具）</w:t>
      </w:r>
      <w:r>
        <w:rPr>
          <w:rFonts w:hint="eastAsia" w:ascii="方正姚体" w:hAnsi="宋体" w:eastAsia="方正姚体" w:cs="宋体"/>
          <w:color w:val="FF0000"/>
          <w:szCs w:val="21"/>
          <w:lang w:eastAsia="zh-CN"/>
        </w:rPr>
        <w:t>。</w:t>
      </w:r>
    </w:p>
    <w:p>
      <w:pPr>
        <w:ind w:left="630" w:leftChars="200" w:hanging="210" w:hangingChars="100"/>
        <w:rPr>
          <w:rFonts w:ascii="方正姚体" w:hAnsi="宋体" w:eastAsia="方正姚体" w:cs="宋体"/>
          <w:color w:val="FF0000"/>
          <w:szCs w:val="21"/>
        </w:rPr>
      </w:pPr>
      <w:r>
        <w:rPr>
          <w:rFonts w:hint="eastAsia" w:ascii="方正姚体" w:hAnsi="宋体" w:eastAsia="方正姚体" w:cs="宋体"/>
          <w:color w:val="FF0000"/>
          <w:szCs w:val="21"/>
        </w:rPr>
        <w:t>23.黄斑变性眼内注射治疗（疾病诊断书限三级综合医院</w:t>
      </w:r>
      <w:r>
        <w:rPr>
          <w:rFonts w:hint="eastAsia" w:ascii="方正姚体" w:hAnsi="宋体" w:eastAsia="方正姚体" w:cs="宋体"/>
          <w:color w:val="FF0000"/>
          <w:szCs w:val="21"/>
          <w:lang w:eastAsia="zh-CN"/>
        </w:rPr>
        <w:t>眼科</w:t>
      </w:r>
      <w:r>
        <w:rPr>
          <w:rFonts w:hint="eastAsia" w:ascii="方正姚体" w:hAnsi="宋体" w:eastAsia="方正姚体" w:cs="宋体"/>
          <w:color w:val="FF0000"/>
          <w:szCs w:val="21"/>
        </w:rPr>
        <w:t>或二级及以上眼科专科医院</w:t>
      </w:r>
      <w:r>
        <w:rPr>
          <w:rFonts w:hint="eastAsia" w:ascii="方正姚体" w:hAnsi="宋体" w:eastAsia="方正姚体" w:cs="宋体"/>
          <w:color w:val="FF0000"/>
          <w:szCs w:val="21"/>
          <w:lang w:eastAsia="zh-CN"/>
        </w:rPr>
        <w:t>医师</w:t>
      </w:r>
      <w:r>
        <w:rPr>
          <w:rFonts w:hint="eastAsia" w:ascii="方正姚体" w:hAnsi="宋体" w:eastAsia="方正姚体" w:cs="宋体"/>
          <w:color w:val="FF0000"/>
          <w:szCs w:val="21"/>
        </w:rPr>
        <w:t>出具）。</w:t>
      </w:r>
    </w:p>
    <w:p>
      <w:pPr>
        <w:ind w:firstLine="420" w:firstLineChars="200"/>
        <w:rPr>
          <w:rFonts w:ascii="宋体" w:hAnsi="宋体" w:cs="宋体"/>
          <w:szCs w:val="21"/>
        </w:rPr>
      </w:pPr>
    </w:p>
    <w:p>
      <w:pPr>
        <w:rPr>
          <w:rFonts w:ascii="宋体" w:hAnsi="宋体" w:cs="宋体"/>
          <w:szCs w:val="21"/>
        </w:rPr>
      </w:pPr>
    </w:p>
    <w:p>
      <w:pPr>
        <w:pStyle w:val="2"/>
        <w:ind w:firstLine="420"/>
        <w:jc w:val="center"/>
        <w:rPr>
          <w:b w:val="0"/>
          <w:color w:val="auto"/>
        </w:rPr>
      </w:pPr>
      <w:bookmarkStart w:id="2" w:name="_Toc17610"/>
      <w:r>
        <w:rPr>
          <w:rFonts w:hint="eastAsia"/>
          <w:b w:val="0"/>
          <w:color w:val="auto"/>
        </w:rPr>
        <w:t>一、总则</w:t>
      </w:r>
      <w:bookmarkEnd w:id="2"/>
      <w:r>
        <w:rPr>
          <w:rFonts w:hint="eastAsia"/>
          <w:b w:val="0"/>
          <w:color w:val="0000FF"/>
          <w:lang w:eastAsia="zh-CN"/>
        </w:rPr>
        <w:t>（</w:t>
      </w:r>
      <w:r>
        <w:rPr>
          <w:rFonts w:hint="eastAsia"/>
          <w:b w:val="0"/>
          <w:color w:val="0000FF"/>
          <w:lang w:val="en-US" w:eastAsia="zh-CN"/>
        </w:rPr>
        <w:t>2019.3.4严格参照文件执行</w:t>
      </w:r>
      <w:r>
        <w:rPr>
          <w:rFonts w:hint="eastAsia"/>
          <w:b w:val="0"/>
          <w:color w:val="0000FF"/>
          <w:lang w:eastAsia="zh-CN"/>
        </w:rPr>
        <w:t>）</w:t>
      </w:r>
    </w:p>
    <w:p>
      <w:pPr>
        <w:pStyle w:val="6"/>
        <w:numPr>
          <w:ilvl w:val="0"/>
          <w:numId w:val="1"/>
        </w:numPr>
        <w:ind w:left="0" w:firstLine="420"/>
        <w:rPr>
          <w:rFonts w:hint="eastAsia" w:ascii="宋体" w:hAnsi="宋体" w:eastAsia="宋体" w:cs="宋体"/>
          <w:color w:val="0000FF"/>
          <w:szCs w:val="21"/>
        </w:rPr>
      </w:pPr>
      <w:r>
        <w:rPr>
          <w:rFonts w:hint="eastAsia" w:ascii="宋体" w:hAnsi="宋体" w:cs="宋体"/>
          <w:szCs w:val="21"/>
        </w:rPr>
        <w:t>所有病种均需要</w:t>
      </w:r>
      <w:r>
        <w:rPr>
          <w:rFonts w:hint="eastAsia" w:ascii="宋体" w:hAnsi="宋体" w:cs="宋体"/>
          <w:szCs w:val="21"/>
          <w:lang w:eastAsia="zh-CN"/>
        </w:rPr>
        <w:t>填写</w:t>
      </w:r>
      <w:r>
        <w:rPr>
          <w:rFonts w:hint="eastAsia" w:ascii="宋体" w:hAnsi="宋体" w:eastAsia="宋体" w:cs="宋体"/>
          <w:color w:val="0000FF"/>
          <w:kern w:val="0"/>
          <w:sz w:val="21"/>
          <w:szCs w:val="21"/>
        </w:rPr>
        <w:t>《基本医疗保险参保人员享受规定病种待遇备案表》</w:t>
      </w:r>
      <w:r>
        <w:rPr>
          <w:rFonts w:hint="eastAsia" w:ascii="宋体" w:hAnsi="宋体" w:cs="宋体"/>
          <w:color w:val="0000FF"/>
          <w:kern w:val="0"/>
          <w:sz w:val="21"/>
          <w:szCs w:val="21"/>
          <w:lang w:eastAsia="zh-CN"/>
        </w:rPr>
        <w:t>。</w:t>
      </w:r>
    </w:p>
    <w:p>
      <w:pPr>
        <w:pStyle w:val="6"/>
        <w:numPr>
          <w:ilvl w:val="0"/>
          <w:numId w:val="1"/>
        </w:numPr>
        <w:ind w:left="0" w:firstLine="420"/>
        <w:rPr>
          <w:rFonts w:hint="eastAsia" w:ascii="宋体" w:hAnsi="宋体" w:eastAsia="宋体" w:cs="宋体"/>
          <w:color w:val="0000FF"/>
          <w:szCs w:val="21"/>
        </w:rPr>
      </w:pPr>
      <w:r>
        <w:rPr>
          <w:rFonts w:hint="eastAsia" w:ascii="宋体" w:hAnsi="宋体" w:eastAsia="宋体" w:cs="宋体"/>
          <w:color w:val="0000FF"/>
          <w:kern w:val="0"/>
          <w:sz w:val="21"/>
          <w:szCs w:val="21"/>
        </w:rPr>
        <w:t>《基本医疗保险参保人员享受规定病种待遇备案表》</w:t>
      </w:r>
      <w:r>
        <w:rPr>
          <w:rFonts w:hint="eastAsia" w:ascii="宋体" w:hAnsi="宋体" w:cs="宋体"/>
          <w:color w:val="0000FF"/>
          <w:kern w:val="0"/>
          <w:sz w:val="21"/>
          <w:szCs w:val="21"/>
          <w:lang w:eastAsia="zh-CN"/>
        </w:rPr>
        <w:t>必须由</w:t>
      </w:r>
      <w:r>
        <w:rPr>
          <w:rFonts w:hint="eastAsia" w:ascii="宋体" w:hAnsi="宋体" w:eastAsia="宋体" w:cs="宋体"/>
          <w:color w:val="0000FF"/>
          <w:kern w:val="0"/>
          <w:sz w:val="21"/>
          <w:szCs w:val="21"/>
        </w:rPr>
        <w:t>二级或以上定点医疗机构（精神病的需</w:t>
      </w:r>
      <w:r>
        <w:rPr>
          <w:rFonts w:hint="eastAsia" w:ascii="宋体" w:hAnsi="宋体" w:eastAsia="宋体" w:cs="宋体"/>
          <w:color w:val="0000FF"/>
          <w:sz w:val="21"/>
          <w:szCs w:val="21"/>
        </w:rPr>
        <w:t>经二级（含）以上精神专科医院中级（含）以上医师或二级（含）以上综合性医院精神、心理科中级（含）以上专业医师确诊）</w:t>
      </w:r>
      <w:r>
        <w:rPr>
          <w:rFonts w:hint="eastAsia" w:ascii="宋体" w:hAnsi="宋体" w:cs="宋体"/>
          <w:color w:val="0000FF"/>
          <w:sz w:val="21"/>
          <w:szCs w:val="21"/>
          <w:lang w:eastAsia="zh-CN"/>
        </w:rPr>
        <w:t>审核填写。</w:t>
      </w:r>
    </w:p>
    <w:p>
      <w:pPr>
        <w:pStyle w:val="6"/>
        <w:numPr>
          <w:ilvl w:val="0"/>
          <w:numId w:val="1"/>
        </w:numPr>
        <w:ind w:left="0" w:firstLine="420"/>
        <w:rPr>
          <w:rFonts w:ascii="宋体" w:hAnsi="宋体" w:cs="宋体"/>
          <w:szCs w:val="21"/>
        </w:rPr>
      </w:pPr>
      <w:r>
        <w:rPr>
          <w:rFonts w:hint="eastAsia" w:ascii="宋体" w:hAnsi="宋体" w:cs="宋体"/>
          <w:szCs w:val="21"/>
        </w:rPr>
        <w:t>需要提供手术记录的病种，出院小结未详细记录，也未带手术记录，如果在中心报销的，可以调档案，复印手术记录和材料费用；如果是刷卡报销的，需提供手术记录（因为刷卡报销我们无法打印）。若有住院费用汇总清单，并且清单上记载的手术名称、手术材料齐全的情况下，可代替手术记录。</w:t>
      </w:r>
    </w:p>
    <w:p>
      <w:pPr>
        <w:pStyle w:val="6"/>
        <w:numPr>
          <w:ilvl w:val="0"/>
          <w:numId w:val="1"/>
        </w:numPr>
        <w:ind w:left="0" w:firstLine="420"/>
        <w:rPr>
          <w:rFonts w:ascii="宋体" w:hAnsi="宋体" w:cs="宋体"/>
          <w:szCs w:val="21"/>
        </w:rPr>
      </w:pPr>
      <w:r>
        <w:rPr>
          <w:rFonts w:hint="eastAsia" w:ascii="宋体" w:hAnsi="宋体" w:cs="宋体"/>
          <w:szCs w:val="21"/>
        </w:rPr>
        <w:t>疾病诊断书时间限</w:t>
      </w:r>
      <w:r>
        <w:rPr>
          <w:rFonts w:hint="eastAsia" w:ascii="宋体" w:hAnsi="宋体" w:cs="宋体"/>
          <w:color w:val="0000FF"/>
          <w:szCs w:val="21"/>
          <w:lang w:val="en-US" w:eastAsia="zh-CN"/>
        </w:rPr>
        <w:t>2年</w:t>
      </w:r>
      <w:r>
        <w:rPr>
          <w:rFonts w:hint="eastAsia" w:ascii="宋体" w:hAnsi="宋体" w:cs="宋体"/>
          <w:color w:val="0000FF"/>
          <w:szCs w:val="21"/>
        </w:rPr>
        <w:t>内</w:t>
      </w:r>
      <w:r>
        <w:rPr>
          <w:rFonts w:hint="eastAsia" w:ascii="宋体" w:hAnsi="宋体" w:cs="宋体"/>
          <w:szCs w:val="21"/>
        </w:rPr>
        <w:t>有效，公章显示为医院名称的均可。</w:t>
      </w:r>
    </w:p>
    <w:p>
      <w:pPr>
        <w:pStyle w:val="6"/>
        <w:numPr>
          <w:ilvl w:val="0"/>
          <w:numId w:val="1"/>
        </w:numPr>
        <w:ind w:left="0" w:firstLine="420"/>
        <w:rPr>
          <w:rFonts w:ascii="宋体" w:hAnsi="宋体" w:cs="宋体"/>
          <w:color w:val="0000FF"/>
          <w:szCs w:val="21"/>
          <w:u w:val="single"/>
        </w:rPr>
      </w:pPr>
      <w:r>
        <w:rPr>
          <w:rFonts w:hint="eastAsia" w:ascii="宋体" w:hAnsi="宋体" w:cs="宋体"/>
          <w:szCs w:val="21"/>
        </w:rPr>
        <w:t>如一人两个以上特殊病种，则分次办理，分别填写专用病历。</w:t>
      </w:r>
      <w:r>
        <w:rPr>
          <w:rFonts w:hint="eastAsia" w:ascii="宋体" w:hAnsi="宋体" w:cs="宋体"/>
          <w:color w:val="0000FF"/>
          <w:szCs w:val="21"/>
          <w:lang w:eastAsia="zh-CN"/>
        </w:rPr>
        <w:t>例如</w:t>
      </w:r>
      <w:r>
        <w:rPr>
          <w:rFonts w:hint="eastAsia" w:ascii="宋体" w:hAnsi="宋体" w:cs="宋体"/>
          <w:color w:val="0000FF"/>
          <w:szCs w:val="21"/>
        </w:rPr>
        <w:t>尿毒症透析与重大器官移植术后抗排异，尿毒症透析与慢性肾功能不全（非透析治疗）</w:t>
      </w:r>
      <w:r>
        <w:rPr>
          <w:rFonts w:hint="eastAsia" w:ascii="宋体" w:hAnsi="宋体" w:cs="宋体"/>
          <w:color w:val="0000FF"/>
          <w:szCs w:val="21"/>
          <w:lang w:eastAsia="zh-CN"/>
        </w:rPr>
        <w:t>等可以存在双病种。</w:t>
      </w:r>
    </w:p>
    <w:p>
      <w:pPr>
        <w:pStyle w:val="6"/>
        <w:numPr>
          <w:ilvl w:val="0"/>
          <w:numId w:val="1"/>
        </w:numPr>
        <w:ind w:left="0" w:firstLine="420"/>
        <w:rPr>
          <w:rFonts w:ascii="宋体" w:hAnsi="宋体" w:cs="宋体"/>
          <w:szCs w:val="21"/>
          <w:u w:val="single"/>
        </w:rPr>
      </w:pPr>
      <w:r>
        <w:rPr>
          <w:rFonts w:hint="eastAsia" w:ascii="宋体" w:hAnsi="宋体" w:cs="宋体"/>
          <w:szCs w:val="21"/>
        </w:rPr>
        <w:t>尿液检验中的蛋白尿，</w:t>
      </w:r>
      <w:r>
        <w:rPr>
          <w:rFonts w:hint="eastAsia" w:ascii="宋体" w:hAnsi="宋体" w:cs="宋体"/>
          <w:szCs w:val="21"/>
          <w:u w:val="single"/>
        </w:rPr>
        <w:t>即尿蛋白（PRO）或（尿检）蛋白质，参考指标还可包括尿白蛋白（又称清蛋白，albumin,Alb）、β2微球蛋白(β2-MG)、IgG（免疫球蛋白G ）、IgA（免疫球蛋白A ）、IgM（免疫球蛋白M）、C3、C4、糖蛋白（T-H糖蛋白）、血红蛋白、肌红蛋白、免疫球蛋白轻链（KAP、LAM或κ、λ）等。血尿，看尿隐血或红细胞个数。</w:t>
      </w:r>
    </w:p>
    <w:p>
      <w:pPr>
        <w:pStyle w:val="6"/>
        <w:numPr>
          <w:ilvl w:val="0"/>
          <w:numId w:val="1"/>
        </w:numPr>
        <w:ind w:left="0" w:firstLine="420"/>
        <w:rPr>
          <w:rFonts w:hint="eastAsia" w:ascii="方正姚体" w:hAnsi="宋体" w:eastAsia="方正姚体"/>
          <w:color w:val="FF0000"/>
          <w:szCs w:val="21"/>
          <w:lang w:val="en-US" w:eastAsia="zh-CN"/>
        </w:rPr>
      </w:pPr>
      <w:r>
        <w:rPr>
          <w:rFonts w:hint="eastAsia" w:ascii="方正姚体" w:hAnsi="宋体" w:eastAsia="方正姚体" w:cs="宋体"/>
          <w:color w:val="FF0000"/>
          <w:szCs w:val="21"/>
          <w:lang w:eastAsia="zh-CN"/>
        </w:rPr>
        <w:t>新增</w:t>
      </w:r>
      <w:r>
        <w:rPr>
          <w:rFonts w:hint="eastAsia" w:ascii="方正姚体" w:hAnsi="宋体" w:eastAsia="方正姚体" w:cs="宋体"/>
          <w:color w:val="FF0000"/>
          <w:szCs w:val="21"/>
        </w:rPr>
        <w:t>支气管哮喘</w:t>
      </w:r>
      <w:r>
        <w:rPr>
          <w:rFonts w:hint="eastAsia" w:ascii="方正姚体" w:hAnsi="宋体" w:eastAsia="方正姚体" w:cs="宋体"/>
          <w:color w:val="FF0000"/>
          <w:szCs w:val="21"/>
          <w:lang w:eastAsia="zh-CN"/>
        </w:rPr>
        <w:t>、</w:t>
      </w:r>
      <w:r>
        <w:rPr>
          <w:rFonts w:hint="eastAsia" w:ascii="方正姚体" w:hAnsi="宋体" w:eastAsia="方正姚体" w:cs="宋体"/>
          <w:color w:val="FF0000"/>
          <w:szCs w:val="21"/>
        </w:rPr>
        <w:t>慢性阻塞性肺疾病</w:t>
      </w:r>
      <w:r>
        <w:rPr>
          <w:rFonts w:hint="eastAsia" w:ascii="方正姚体" w:hAnsi="宋体" w:eastAsia="方正姚体" w:cs="宋体"/>
          <w:color w:val="FF0000"/>
          <w:szCs w:val="21"/>
          <w:lang w:eastAsia="zh-CN"/>
        </w:rPr>
        <w:t>、</w:t>
      </w:r>
      <w:r>
        <w:rPr>
          <w:rFonts w:hint="eastAsia" w:ascii="方正姚体" w:hAnsi="宋体" w:eastAsia="方正姚体" w:cs="宋体"/>
          <w:color w:val="FF0000"/>
          <w:szCs w:val="21"/>
        </w:rPr>
        <w:t>阿尔茨海默病</w:t>
      </w:r>
      <w:r>
        <w:rPr>
          <w:rFonts w:hint="eastAsia" w:ascii="方正姚体" w:hAnsi="宋体" w:eastAsia="方正姚体" w:cs="宋体"/>
          <w:color w:val="FF0000"/>
          <w:szCs w:val="21"/>
          <w:lang w:eastAsia="zh-CN"/>
        </w:rPr>
        <w:t>、</w:t>
      </w:r>
      <w:r>
        <w:rPr>
          <w:rFonts w:hint="eastAsia" w:ascii="方正姚体" w:hAnsi="宋体" w:eastAsia="方正姚体" w:cs="宋体"/>
          <w:color w:val="FF0000"/>
          <w:szCs w:val="21"/>
        </w:rPr>
        <w:t>黄斑变性眼内注射治疗</w:t>
      </w:r>
      <w:r>
        <w:rPr>
          <w:rFonts w:hint="eastAsia" w:ascii="方正姚体" w:hAnsi="宋体" w:eastAsia="方正姚体" w:cs="宋体"/>
          <w:color w:val="FF0000"/>
          <w:szCs w:val="21"/>
          <w:lang w:eastAsia="zh-CN"/>
        </w:rPr>
        <w:t>等四个病种自</w:t>
      </w:r>
      <w:r>
        <w:rPr>
          <w:rFonts w:hint="eastAsia" w:ascii="方正姚体" w:hAnsi="宋体" w:eastAsia="方正姚体" w:cs="宋体"/>
          <w:color w:val="FF0000"/>
          <w:szCs w:val="21"/>
          <w:lang w:val="en-US" w:eastAsia="zh-CN"/>
        </w:rPr>
        <w:t>2018年7月16日起执行。</w:t>
      </w:r>
    </w:p>
    <w:p>
      <w:pPr>
        <w:pStyle w:val="6"/>
        <w:numPr>
          <w:ilvl w:val="0"/>
          <w:numId w:val="1"/>
        </w:numPr>
        <w:ind w:left="0" w:firstLine="420"/>
        <w:rPr>
          <w:rFonts w:hint="eastAsia" w:ascii="宋体" w:hAnsi="宋体" w:eastAsia="宋体" w:cs="宋体"/>
          <w:b w:val="0"/>
          <w:bCs w:val="0"/>
          <w:color w:val="0000FF"/>
          <w:szCs w:val="21"/>
          <w:lang w:val="en-US" w:eastAsia="zh-CN"/>
        </w:rPr>
      </w:pPr>
      <w:r>
        <w:rPr>
          <w:rFonts w:hint="eastAsia" w:ascii="宋体" w:hAnsi="宋体" w:eastAsia="宋体" w:cs="宋体"/>
          <w:b w:val="0"/>
          <w:bCs w:val="0"/>
          <w:color w:val="0000FF"/>
          <w:szCs w:val="21"/>
          <w:lang w:val="en-US" w:eastAsia="zh-CN"/>
        </w:rPr>
        <w:t>2019年1月1日起，特殊门诊定点医院变更为台州内一家，台州外只限异地联网结算的医院。</w:t>
      </w:r>
    </w:p>
    <w:p>
      <w:pPr>
        <w:pStyle w:val="6"/>
        <w:numPr>
          <w:ilvl w:val="0"/>
          <w:numId w:val="1"/>
        </w:numPr>
        <w:ind w:left="0" w:firstLine="420"/>
        <w:rPr>
          <w:rFonts w:hint="eastAsia" w:ascii="宋体" w:hAnsi="宋体" w:eastAsia="宋体" w:cs="宋体"/>
          <w:b w:val="0"/>
          <w:bCs w:val="0"/>
          <w:color w:val="0000FF"/>
          <w:szCs w:val="21"/>
          <w:lang w:val="en-US" w:eastAsia="zh-CN"/>
        </w:rPr>
      </w:pPr>
      <w:r>
        <w:rPr>
          <w:rFonts w:hint="eastAsia" w:ascii="宋体" w:hAnsi="宋体" w:eastAsia="宋体" w:cs="宋体"/>
          <w:b w:val="0"/>
          <w:bCs w:val="0"/>
          <w:color w:val="0000FF"/>
          <w:szCs w:val="21"/>
          <w:lang w:val="en-US" w:eastAsia="zh-CN"/>
        </w:rPr>
        <w:t>2019年开始起新审批特殊门诊“恶性肿瘤”的参保人，可以报销办理前一年内的门诊放化疗费用（限特殊门诊诊疗目录的内容）。</w:t>
      </w:r>
    </w:p>
    <w:p>
      <w:pPr>
        <w:pStyle w:val="6"/>
        <w:numPr>
          <w:ilvl w:val="0"/>
          <w:numId w:val="1"/>
        </w:numPr>
        <w:ind w:left="0" w:firstLine="420"/>
        <w:rPr>
          <w:rFonts w:hint="eastAsia" w:ascii="宋体" w:hAnsi="宋体" w:eastAsia="宋体" w:cs="宋体"/>
          <w:b w:val="0"/>
          <w:bCs w:val="0"/>
          <w:color w:val="0000FF"/>
          <w:szCs w:val="21"/>
          <w:lang w:val="en-US" w:eastAsia="zh-CN"/>
        </w:rPr>
      </w:pPr>
      <w:r>
        <w:rPr>
          <w:rFonts w:hint="eastAsia" w:ascii="宋体" w:hAnsi="宋体" w:cs="宋体"/>
          <w:b w:val="0"/>
          <w:bCs w:val="0"/>
          <w:color w:val="0000FF"/>
          <w:szCs w:val="21"/>
          <w:lang w:val="en-US" w:eastAsia="zh-CN"/>
        </w:rPr>
        <w:t>2019年3月4日起特殊病种严格参照文件执行，在符合文件准入条件的情况下不再要求提供出院记录或病历。</w:t>
      </w:r>
    </w:p>
    <w:p>
      <w:pPr>
        <w:pStyle w:val="2"/>
        <w:ind w:firstLine="560"/>
        <w:jc w:val="center"/>
        <w:rPr>
          <w:rFonts w:hint="eastAsia"/>
          <w:b w:val="0"/>
          <w:color w:val="auto"/>
          <w:sz w:val="28"/>
          <w:szCs w:val="28"/>
        </w:rPr>
      </w:pPr>
      <w:bookmarkStart w:id="3" w:name="_Toc3878"/>
    </w:p>
    <w:p>
      <w:pPr>
        <w:pStyle w:val="2"/>
        <w:ind w:left="0" w:leftChars="0" w:firstLine="0" w:firstLineChars="0"/>
        <w:jc w:val="both"/>
        <w:rPr>
          <w:rFonts w:hint="eastAsia"/>
          <w:b w:val="0"/>
          <w:color w:val="auto"/>
          <w:sz w:val="28"/>
          <w:szCs w:val="28"/>
        </w:rPr>
      </w:pPr>
    </w:p>
    <w:p>
      <w:pPr>
        <w:pStyle w:val="2"/>
        <w:ind w:left="0" w:leftChars="0" w:firstLine="0" w:firstLineChars="0"/>
        <w:jc w:val="both"/>
        <w:rPr>
          <w:rFonts w:hint="eastAsia"/>
          <w:b w:val="0"/>
          <w:color w:val="auto"/>
          <w:sz w:val="28"/>
          <w:szCs w:val="28"/>
        </w:rPr>
      </w:pPr>
    </w:p>
    <w:p>
      <w:pPr>
        <w:pStyle w:val="2"/>
        <w:ind w:firstLine="560"/>
        <w:jc w:val="center"/>
        <w:rPr>
          <w:b w:val="0"/>
          <w:color w:val="auto"/>
          <w:sz w:val="28"/>
          <w:szCs w:val="28"/>
        </w:rPr>
      </w:pPr>
      <w:r>
        <w:rPr>
          <w:rFonts w:hint="eastAsia"/>
          <w:b w:val="0"/>
          <w:color w:val="auto"/>
          <w:sz w:val="28"/>
          <w:szCs w:val="28"/>
        </w:rPr>
        <w:t>二、分则</w:t>
      </w:r>
      <w:bookmarkEnd w:id="3"/>
    </w:p>
    <w:p>
      <w:pPr>
        <w:tabs>
          <w:tab w:val="left" w:pos="360"/>
        </w:tabs>
        <w:spacing w:line="240" w:lineRule="exact"/>
        <w:jc w:val="center"/>
        <w:rPr>
          <w:rFonts w:ascii="宋体" w:hAnsi="宋体" w:cs="宋体"/>
          <w:szCs w:val="21"/>
        </w:rPr>
      </w:pPr>
      <w:r>
        <w:rPr>
          <w:rFonts w:hint="eastAsia" w:ascii="宋体" w:hAnsi="宋体" w:cs="宋体"/>
          <w:szCs w:val="21"/>
        </w:rPr>
        <w:t>（以台州文件为依据，框内为中心的解释补充）</w:t>
      </w:r>
    </w:p>
    <w:p>
      <w:pPr>
        <w:pStyle w:val="2"/>
        <w:rPr>
          <w:color w:val="auto"/>
        </w:rPr>
      </w:pPr>
      <w:bookmarkStart w:id="4" w:name="_Toc30123"/>
      <w:r>
        <w:rPr>
          <w:rFonts w:hint="eastAsia"/>
          <w:color w:val="auto"/>
        </w:rPr>
        <w:t>（一）恶性肿瘤</w:t>
      </w:r>
      <w:bookmarkEnd w:id="4"/>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（1）住院或门诊确诊为恶性肿瘤,病理检查显示恶性肿瘤特征性改变并病理确诊 (必要条件)。</w:t>
      </w:r>
    </w:p>
    <w:p>
      <w:pPr>
        <w:tabs>
          <w:tab w:val="left" w:pos="360"/>
        </w:tabs>
        <w:ind w:firstLine="420" w:firstLineChars="200"/>
        <w:jc w:val="left"/>
        <w:rPr>
          <w:rFonts w:ascii="宋体" w:hAnsi="宋体" w:cs="宋体"/>
          <w:szCs w:val="21"/>
        </w:rPr>
      </w:pPr>
      <w:r>
        <w:rPr>
          <w:rFonts w:hint="eastAsia" w:ascii="宋体" w:hAnsi="宋体" w:cs="宋体"/>
          <w:szCs w:val="21"/>
        </w:rPr>
        <w:t>（2）住院确诊恶性肿瘤,影像学检查及实验室检查也提示恶性肿瘤可能性大,未行手术治疗,但已实施放疗或化疗(必要条件)。</w:t>
      </w:r>
    </w:p>
    <w:p>
      <w:pPr>
        <w:tabs>
          <w:tab w:val="left" w:pos="360"/>
        </w:tabs>
        <w:ind w:firstLine="420" w:firstLineChars="200"/>
        <w:jc w:val="left"/>
        <w:rPr>
          <w:rFonts w:ascii="宋体" w:hAnsi="宋体" w:cs="宋体"/>
          <w:szCs w:val="21"/>
        </w:rPr>
      </w:pPr>
      <w:r>
        <w:rPr>
          <w:rFonts w:hint="eastAsia" w:ascii="宋体" w:hAnsi="宋体" w:cs="宋体"/>
          <w:szCs w:val="21"/>
        </w:rPr>
        <w:t>（3）住院确诊为恶性肿瘤,无手术条件、或不宜手术、或不宜积极放化疗、或病人不接受手术治疗或放化疗,影像学检查及实验室检查提示恶性肿瘤,三级医院专科的医生在病历中明确记载并出具诊断证明书 (必要条件)。</w:t>
      </w:r>
    </w:p>
    <w:p>
      <w:pPr>
        <w:tabs>
          <w:tab w:val="left" w:pos="360"/>
        </w:tabs>
        <w:ind w:firstLine="420" w:firstLineChars="200"/>
        <w:jc w:val="left"/>
        <w:rPr>
          <w:rFonts w:ascii="宋体" w:hAnsi="宋体" w:cs="宋体"/>
          <w:szCs w:val="21"/>
        </w:rPr>
      </w:pPr>
      <w:r>
        <w:rPr>
          <w:rFonts w:hint="eastAsia" w:ascii="宋体" w:hAnsi="宋体" w:cs="宋体"/>
          <w:szCs w:val="21"/>
        </w:rPr>
        <w:t>（4）门诊诊断为恶性肿瘤,影像学检查及实验室检查提示恶性肿瘤,未行手术或放化疗治疗,三级医院专科的医生在病历中明确记载并出具诊断证明书 (必要条件)。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———准入标准:必要条件一条。</w:t>
      </w:r>
    </w:p>
    <w:p>
      <w:pPr>
        <w:tabs>
          <w:tab w:val="left" w:pos="360"/>
        </w:tabs>
        <w:ind w:firstLine="420" w:firstLineChars="200"/>
        <w:jc w:val="left"/>
        <w:rPr>
          <w:rFonts w:ascii="宋体" w:hAnsi="宋体" w:cs="宋体"/>
          <w:szCs w:val="21"/>
        </w:rPr>
      </w:pPr>
      <w:r>
        <w:rPr>
          <w:rFonts w:hint="eastAsia" w:ascii="宋体" w:hAnsi="宋体" w:cs="宋体"/>
          <w:szCs w:val="21"/>
        </w:rPr>
        <w:t>注:享有恶性肿瘤特殊病种门诊医疗资格的患者,出现肿瘤转移或新发生其他部位恶性肿瘤,不需增加病种。恶性肿瘤确诊后满5年的患者,申办恶性肿瘤特殊病种门诊医疗资格时,应提供充分的肿瘤未愈、转移、复发或新发需继续治疗的依据。</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（1）门诊放疗。</w:t>
      </w:r>
    </w:p>
    <w:p>
      <w:pPr>
        <w:tabs>
          <w:tab w:val="left" w:pos="360"/>
        </w:tabs>
        <w:ind w:firstLine="420" w:firstLineChars="200"/>
        <w:jc w:val="left"/>
        <w:rPr>
          <w:rFonts w:ascii="宋体" w:hAnsi="宋体" w:cs="宋体"/>
          <w:szCs w:val="21"/>
        </w:rPr>
      </w:pPr>
      <w:r>
        <w:rPr>
          <w:rFonts w:hint="eastAsia" w:ascii="宋体" w:hAnsi="宋体" w:cs="宋体"/>
          <w:szCs w:val="21"/>
        </w:rPr>
        <w:t>（2）门诊化疗：限于西药“抗肿瘤药物”。</w:t>
      </w:r>
    </w:p>
    <w:p>
      <w:pPr>
        <w:tabs>
          <w:tab w:val="left" w:pos="360"/>
        </w:tabs>
        <w:ind w:firstLine="420" w:firstLineChars="200"/>
        <w:jc w:val="left"/>
        <w:rPr>
          <w:rFonts w:ascii="宋体" w:hAnsi="宋体" w:cs="宋体"/>
          <w:szCs w:val="21"/>
        </w:rPr>
      </w:pPr>
      <w:r>
        <w:rPr>
          <w:rFonts w:hint="eastAsia" w:ascii="宋体" w:hAnsi="宋体" w:cs="宋体"/>
          <w:szCs w:val="21"/>
        </w:rPr>
        <w:t>（3）中成药：限于中成药“肿瘤用药”。</w:t>
      </w:r>
    </w:p>
    <w:p>
      <w:pPr>
        <w:tabs>
          <w:tab w:val="left" w:pos="360"/>
        </w:tabs>
        <w:ind w:firstLine="420" w:firstLineChars="200"/>
        <w:jc w:val="left"/>
        <w:rPr>
          <w:rFonts w:ascii="宋体" w:hAnsi="宋体" w:cs="宋体"/>
          <w:szCs w:val="21"/>
        </w:rPr>
      </w:pPr>
      <w:r>
        <w:rPr>
          <w:rFonts w:hint="eastAsia" w:ascii="宋体" w:hAnsi="宋体" w:cs="宋体"/>
          <w:szCs w:val="21"/>
        </w:rPr>
        <w:t>（4）中药饮片：限于本病。</w:t>
      </w:r>
    </w:p>
    <w:p>
      <w:pPr>
        <w:tabs>
          <w:tab w:val="left" w:pos="360"/>
        </w:tabs>
        <w:ind w:firstLine="420" w:firstLineChars="200"/>
        <w:jc w:val="left"/>
        <w:rPr>
          <w:rFonts w:ascii="宋体" w:hAnsi="宋体" w:cs="宋体"/>
          <w:szCs w:val="21"/>
        </w:rPr>
      </w:pPr>
      <w:r>
        <w:rPr>
          <w:rFonts w:hint="eastAsia" w:ascii="宋体" w:hAnsi="宋体" w:cs="宋体"/>
          <w:szCs w:val="21"/>
        </w:rPr>
        <w:t>（5）其他治疗及用药：晚期镇痛药，生物反应调节药，止吐药（限甲类或高催吐放化疗类），下丘脑垂体激素药，甲状腺片（限甲状腺癌术后），甲状旁腺及钙代谢调节药（限骨恶性肿瘤或恶性肿瘤骨转移），膀胱灌注（限膀胱恶性肿瘤）。</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血常规（限门诊放化疗前后、期间）、生化筛查常规（限门诊放化疗前后、期间）。</w:t>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r>
        <w:rPr>
          <w:rFonts w:ascii="宋体" w:hAnsi="宋体" w:eastAsia="宋体" w:cs="宋体"/>
          <w:kern w:val="2"/>
          <w:sz w:val="21"/>
          <w:szCs w:val="22"/>
          <w:lang w:val="en-US" w:eastAsia="zh-CN" w:bidi="ar-SA"/>
        </w:rPr>
        <mc:AlternateContent>
          <mc:Choice Requires="wps">
            <w:drawing>
              <wp:anchor distT="0" distB="0" distL="114300" distR="114300" simplePos="0" relativeHeight="251779072" behindDoc="0" locked="0" layoutInCell="1" allowOverlap="1">
                <wp:simplePos x="0" y="0"/>
                <wp:positionH relativeFrom="column">
                  <wp:posOffset>5715</wp:posOffset>
                </wp:positionH>
                <wp:positionV relativeFrom="paragraph">
                  <wp:posOffset>-381000</wp:posOffset>
                </wp:positionV>
                <wp:extent cx="5438775" cy="3486785"/>
                <wp:effectExtent l="4445" t="4445" r="5080" b="13970"/>
                <wp:wrapNone/>
                <wp:docPr id="1" name="Quad Arrow 1180"/>
                <wp:cNvGraphicFramePr/>
                <a:graphic xmlns:a="http://schemas.openxmlformats.org/drawingml/2006/main">
                  <a:graphicData uri="http://schemas.microsoft.com/office/word/2010/wordprocessingShape">
                    <wps:wsp>
                      <wps:cNvSpPr txBox="1"/>
                      <wps:spPr>
                        <a:xfrm>
                          <a:off x="0" y="0"/>
                          <a:ext cx="5438775" cy="3486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ind w:left="0" w:firstLine="420" w:firstLineChars="200"/>
                              <w:rPr>
                                <w:rFonts w:ascii="宋体" w:hAnsi="宋体" w:cs="宋体"/>
                              </w:rPr>
                            </w:pPr>
                            <w:r>
                              <w:rPr>
                                <w:rFonts w:hint="eastAsia" w:ascii="宋体" w:hAnsi="宋体" w:cs="宋体"/>
                              </w:rPr>
                              <w:t>诊断有问号（可能、考虑），已经实施放化疗的，可以审批。</w:t>
                            </w:r>
                          </w:p>
                          <w:p>
                            <w:pPr>
                              <w:numPr>
                                <w:ilvl w:val="0"/>
                                <w:numId w:val="2"/>
                              </w:numPr>
                              <w:ind w:left="0" w:firstLine="420" w:firstLineChars="200"/>
                              <w:rPr>
                                <w:rFonts w:ascii="宋体" w:hAnsi="宋体" w:cs="宋体"/>
                                <w:color w:val="0000FF"/>
                              </w:rPr>
                            </w:pPr>
                            <w:r>
                              <w:rPr>
                                <w:rFonts w:hint="eastAsia" w:ascii="宋体" w:hAnsi="宋体" w:cs="宋体"/>
                                <w:color w:val="0000FF"/>
                                <w:lang w:eastAsia="zh-CN"/>
                              </w:rPr>
                              <w:t>出院记录诊断不明确，出院后续提供的检查报告提示恶性考虑，提供医师明确的诊断（之后的诊断），可以审批。</w:t>
                            </w:r>
                          </w:p>
                          <w:p>
                            <w:pPr>
                              <w:numPr>
                                <w:ilvl w:val="0"/>
                                <w:numId w:val="2"/>
                              </w:numPr>
                              <w:ind w:left="0" w:firstLine="420" w:firstLineChars="200"/>
                              <w:rPr>
                                <w:rFonts w:ascii="宋体" w:hAnsi="宋体" w:cs="宋体"/>
                              </w:rPr>
                            </w:pPr>
                            <w:r>
                              <w:rPr>
                                <w:rFonts w:hint="eastAsia" w:ascii="宋体" w:hAnsi="宋体" w:cs="宋体"/>
                              </w:rPr>
                              <w:t>诊断“MT”为恶性肿瘤，比如“肝右叶MT”为肝癌。</w:t>
                            </w:r>
                          </w:p>
                          <w:p>
                            <w:pPr>
                              <w:numPr>
                                <w:ilvl w:val="0"/>
                                <w:numId w:val="2"/>
                              </w:numPr>
                              <w:ind w:left="0" w:firstLine="420" w:firstLineChars="200"/>
                              <w:rPr>
                                <w:rFonts w:ascii="宋体" w:hAnsi="宋体" w:cs="宋体"/>
                              </w:rPr>
                            </w:pPr>
                            <w:r>
                              <w:rPr>
                                <w:rFonts w:hint="eastAsia" w:ascii="宋体" w:hAnsi="宋体" w:cs="宋体"/>
                              </w:rPr>
                              <w:t>**</w:t>
                            </w:r>
                            <w:r>
                              <w:rPr>
                                <w:rFonts w:hint="eastAsia" w:ascii="宋体" w:hAnsi="宋体" w:cs="宋体"/>
                                <w:b/>
                                <w:bCs/>
                              </w:rPr>
                              <w:t>肉瘤</w:t>
                            </w:r>
                            <w:r>
                              <w:rPr>
                                <w:rFonts w:hint="eastAsia" w:ascii="宋体" w:hAnsi="宋体" w:cs="宋体"/>
                              </w:rPr>
                              <w:t>、间变性星形细胞瘤、神经母细胞瘤、肝母细胞瘤、</w:t>
                            </w:r>
                            <w:r>
                              <w:rPr>
                                <w:rFonts w:hint="eastAsia" w:ascii="宋体" w:hAnsi="宋体" w:cs="宋体"/>
                                <w:color w:val="0000FF"/>
                              </w:rPr>
                              <w:t>多发性骨髓瘤</w:t>
                            </w:r>
                            <w:r>
                              <w:rPr>
                                <w:rFonts w:hint="eastAsia" w:ascii="宋体" w:hAnsi="宋体" w:cs="宋体"/>
                              </w:rPr>
                              <w:t>、霍奇金淋巴瘤、非霍奇金淋巴瘤、结外黏膜相关淋巴组织边缘区淋巴瘤是恶性肿瘤。</w:t>
                            </w:r>
                          </w:p>
                          <w:p>
                            <w:pPr>
                              <w:ind w:firstLine="420" w:firstLineChars="200"/>
                              <w:rPr>
                                <w:rFonts w:ascii="宋体" w:hAnsi="宋体" w:cs="宋体"/>
                              </w:rPr>
                            </w:pPr>
                            <w:r>
                              <w:rPr>
                                <w:rFonts w:hint="eastAsia" w:ascii="宋体" w:hAnsi="宋体" w:cs="宋体"/>
                              </w:rPr>
                              <w:t>骨巨细胞瘤诊断为恶性或转移性骨巨细胞瘤，可审批恶性肿瘤。诊断只是骨巨细胞瘤的，则为未定型。</w:t>
                            </w:r>
                          </w:p>
                          <w:p>
                            <w:pPr>
                              <w:ind w:firstLine="420" w:firstLineChars="200"/>
                              <w:rPr>
                                <w:rFonts w:ascii="宋体" w:hAnsi="宋体" w:cs="宋体"/>
                              </w:rPr>
                            </w:pPr>
                            <w:r>
                              <w:rPr>
                                <w:rFonts w:hint="eastAsia" w:ascii="宋体" w:hAnsi="宋体" w:cs="宋体"/>
                              </w:rPr>
                              <w:t>不明确、未定型的看是否做了放化疗：其余如间质瘤、骨髓增生异常综合征（MDS-RAEBI）、脑胶质瘤、额叶颞脑肿瘤、朗格汉斯细胞组织增多症。</w:t>
                            </w:r>
                          </w:p>
                          <w:p>
                            <w:pPr>
                              <w:ind w:firstLine="420" w:firstLineChars="200"/>
                              <w:rPr>
                                <w:rFonts w:ascii="宋体" w:hAnsi="宋体" w:cs="宋体"/>
                                <w:u w:val="single"/>
                              </w:rPr>
                            </w:pPr>
                            <w:r>
                              <w:rPr>
                                <w:rFonts w:hint="eastAsia" w:ascii="宋体" w:hAnsi="宋体" w:cs="宋体"/>
                                <w:u w:val="single"/>
                              </w:rPr>
                              <w:t>华氏巨球蛋白血症属恶性肿瘤，专用病历上可写“恶性肿瘤（华氏巨球蛋白血症）”。</w:t>
                            </w:r>
                          </w:p>
                          <w:p>
                            <w:pPr>
                              <w:numPr>
                                <w:ilvl w:val="0"/>
                                <w:numId w:val="2"/>
                              </w:numPr>
                              <w:ind w:left="0" w:firstLine="420" w:firstLineChars="200"/>
                              <w:rPr>
                                <w:rFonts w:ascii="宋体" w:hAnsi="宋体" w:cs="宋体"/>
                              </w:rPr>
                            </w:pPr>
                            <w:r>
                              <w:rPr>
                                <w:rFonts w:hint="eastAsia" w:ascii="宋体" w:hAnsi="宋体" w:cs="宋体"/>
                              </w:rPr>
                              <w:t>若疾病诊断书、出院小结、报告单等任何一份明确有转移，需在系统的“诊断意见”和专用病历本上写上“××恶性肿瘤伴××转移”。包括以前已审批恶性肿瘤，之后再诊断为“转移”，均需更改。只有病历显示转移一般不予采纳。</w:t>
                            </w:r>
                          </w:p>
                          <w:p>
                            <w:pPr>
                              <w:numPr>
                                <w:ilvl w:val="0"/>
                                <w:numId w:val="2"/>
                              </w:numPr>
                              <w:ind w:left="0" w:firstLine="420" w:firstLineChars="200"/>
                              <w:rPr>
                                <w:rFonts w:ascii="宋体" w:hAnsi="宋体" w:cs="宋体"/>
                              </w:rPr>
                            </w:pPr>
                            <w:r>
                              <w:rPr>
                                <w:rFonts w:hint="eastAsia" w:ascii="宋体" w:hAnsi="宋体" w:cs="宋体"/>
                              </w:rPr>
                              <w:t>在受理肺癌审批或报销时，材料在符合凯美纳适应症情况下，在特殊门诊申请里面的备注处写明该患者的凯美纳适应症（四种适应症之一），以便下次报销时患者免带适应症材料。</w:t>
                            </w:r>
                          </w:p>
                          <w:p>
                            <w:pPr>
                              <w:numPr>
                                <w:ilvl w:val="0"/>
                                <w:numId w:val="2"/>
                              </w:numPr>
                              <w:ind w:left="0" w:firstLine="420" w:firstLineChars="200"/>
                              <w:rPr>
                                <w:rFonts w:ascii="宋体" w:hAnsi="宋体" w:cs="宋体"/>
                              </w:rPr>
                            </w:pPr>
                            <w:r>
                              <w:rPr>
                                <w:rFonts w:hint="eastAsia" w:ascii="宋体" w:hAnsi="宋体" w:cs="宋体"/>
                              </w:rPr>
                              <w:t>对于出院诊断或报告单提示为恶性肿瘤可能（考虑）的，若已办理麻醉药品专用病历卡并有购药记录，可视确诊恶性肿瘤。</w:t>
                            </w:r>
                          </w:p>
                          <w:p>
                            <w:pPr>
                              <w:ind w:firstLine="420" w:firstLineChars="200"/>
                              <w:rPr>
                                <w:rFonts w:ascii="宋体" w:hAnsi="宋体" w:cs="宋体"/>
                                <w:u w:val="single"/>
                              </w:rPr>
                            </w:pPr>
                          </w:p>
                        </w:txbxContent>
                      </wps:txbx>
                      <wps:bodyPr upright="1"/>
                    </wps:wsp>
                  </a:graphicData>
                </a:graphic>
              </wp:anchor>
            </w:drawing>
          </mc:Choice>
          <mc:Fallback>
            <w:pict>
              <v:shape id="Quad Arrow 1180" o:spid="_x0000_s1026" o:spt="202" type="#_x0000_t202" style="position:absolute;left:0pt;margin-left:0.45pt;margin-top:-30pt;height:274.55pt;width:428.25pt;z-index:251779072;mso-width-relative:page;mso-height-relative:page;" fillcolor="#FFFFFF" filled="t" stroked="t" coordsize="21600,21600" o:gfxdata="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bYydgA&#10;AAAIAQAADwAAAAAAAAABACAAAAAiAAAAZHJzL2Rvd25yZXYueG1sUEsBAhQAFAAAAAgAh07iQA6d&#10;MlDmAQAA7QMAAA4AAAAAAAAAAQAgAAAAJwEAAGRycy9lMm9Eb2MueG1sUEsFBgAAAAAGAAYAWQEA&#10;AH8FAAAAAA==&#10;">
                <v:fill on="t" focussize="0,0"/>
                <v:stroke color="#000000" joinstyle="miter"/>
                <v:imagedata o:title=""/>
                <o:lock v:ext="edit" aspectratio="f"/>
                <v:textbox>
                  <w:txbxContent>
                    <w:p>
                      <w:pPr>
                        <w:numPr>
                          <w:ilvl w:val="0"/>
                          <w:numId w:val="2"/>
                        </w:numPr>
                        <w:ind w:left="0" w:firstLine="420" w:firstLineChars="200"/>
                        <w:rPr>
                          <w:rFonts w:ascii="宋体" w:hAnsi="宋体" w:cs="宋体"/>
                        </w:rPr>
                      </w:pPr>
                      <w:r>
                        <w:rPr>
                          <w:rFonts w:hint="eastAsia" w:ascii="宋体" w:hAnsi="宋体" w:cs="宋体"/>
                        </w:rPr>
                        <w:t>诊断有问号（可能、考虑），已经实施放化疗的，可以审批。</w:t>
                      </w:r>
                    </w:p>
                    <w:p>
                      <w:pPr>
                        <w:numPr>
                          <w:ilvl w:val="0"/>
                          <w:numId w:val="2"/>
                        </w:numPr>
                        <w:ind w:left="0" w:firstLine="420" w:firstLineChars="200"/>
                        <w:rPr>
                          <w:rFonts w:ascii="宋体" w:hAnsi="宋体" w:cs="宋体"/>
                          <w:color w:val="0000FF"/>
                        </w:rPr>
                      </w:pPr>
                      <w:r>
                        <w:rPr>
                          <w:rFonts w:hint="eastAsia" w:ascii="宋体" w:hAnsi="宋体" w:cs="宋体"/>
                          <w:color w:val="0000FF"/>
                          <w:lang w:eastAsia="zh-CN"/>
                        </w:rPr>
                        <w:t>出院记录诊断不明确，出院后续提供的检查报告提示恶性考虑，提供医师明确的诊断（之后的诊断），可以审批。</w:t>
                      </w:r>
                    </w:p>
                    <w:p>
                      <w:pPr>
                        <w:numPr>
                          <w:ilvl w:val="0"/>
                          <w:numId w:val="2"/>
                        </w:numPr>
                        <w:ind w:left="0" w:firstLine="420" w:firstLineChars="200"/>
                        <w:rPr>
                          <w:rFonts w:ascii="宋体" w:hAnsi="宋体" w:cs="宋体"/>
                        </w:rPr>
                      </w:pPr>
                      <w:r>
                        <w:rPr>
                          <w:rFonts w:hint="eastAsia" w:ascii="宋体" w:hAnsi="宋体" w:cs="宋体"/>
                        </w:rPr>
                        <w:t>诊断“MT”为恶性肿瘤，比如“肝右叶MT”为肝癌。</w:t>
                      </w:r>
                    </w:p>
                    <w:p>
                      <w:pPr>
                        <w:numPr>
                          <w:ilvl w:val="0"/>
                          <w:numId w:val="2"/>
                        </w:numPr>
                        <w:ind w:left="0" w:firstLine="420" w:firstLineChars="200"/>
                        <w:rPr>
                          <w:rFonts w:ascii="宋体" w:hAnsi="宋体" w:cs="宋体"/>
                        </w:rPr>
                      </w:pPr>
                      <w:r>
                        <w:rPr>
                          <w:rFonts w:hint="eastAsia" w:ascii="宋体" w:hAnsi="宋体" w:cs="宋体"/>
                        </w:rPr>
                        <w:t>**</w:t>
                      </w:r>
                      <w:r>
                        <w:rPr>
                          <w:rFonts w:hint="eastAsia" w:ascii="宋体" w:hAnsi="宋体" w:cs="宋体"/>
                          <w:b/>
                          <w:bCs/>
                        </w:rPr>
                        <w:t>肉瘤</w:t>
                      </w:r>
                      <w:r>
                        <w:rPr>
                          <w:rFonts w:hint="eastAsia" w:ascii="宋体" w:hAnsi="宋体" w:cs="宋体"/>
                        </w:rPr>
                        <w:t>、间变性星形细胞瘤、神经母细胞瘤、肝母细胞瘤、</w:t>
                      </w:r>
                      <w:r>
                        <w:rPr>
                          <w:rFonts w:hint="eastAsia" w:ascii="宋体" w:hAnsi="宋体" w:cs="宋体"/>
                          <w:color w:val="0000FF"/>
                        </w:rPr>
                        <w:t>多发性骨髓瘤</w:t>
                      </w:r>
                      <w:r>
                        <w:rPr>
                          <w:rFonts w:hint="eastAsia" w:ascii="宋体" w:hAnsi="宋体" w:cs="宋体"/>
                        </w:rPr>
                        <w:t>、霍奇金淋巴瘤、非霍奇金淋巴瘤、结外黏膜相关淋巴组织边缘区淋巴瘤是恶性肿瘤。</w:t>
                      </w:r>
                    </w:p>
                    <w:p>
                      <w:pPr>
                        <w:ind w:firstLine="420" w:firstLineChars="200"/>
                        <w:rPr>
                          <w:rFonts w:ascii="宋体" w:hAnsi="宋体" w:cs="宋体"/>
                        </w:rPr>
                      </w:pPr>
                      <w:r>
                        <w:rPr>
                          <w:rFonts w:hint="eastAsia" w:ascii="宋体" w:hAnsi="宋体" w:cs="宋体"/>
                        </w:rPr>
                        <w:t>骨巨细胞瘤诊断为恶性或转移性骨巨细胞瘤，可审批恶性肿瘤。诊断只是骨巨细胞瘤的，则为未定型。</w:t>
                      </w:r>
                    </w:p>
                    <w:p>
                      <w:pPr>
                        <w:ind w:firstLine="420" w:firstLineChars="200"/>
                        <w:rPr>
                          <w:rFonts w:ascii="宋体" w:hAnsi="宋体" w:cs="宋体"/>
                        </w:rPr>
                      </w:pPr>
                      <w:r>
                        <w:rPr>
                          <w:rFonts w:hint="eastAsia" w:ascii="宋体" w:hAnsi="宋体" w:cs="宋体"/>
                        </w:rPr>
                        <w:t>不明确、未定型的看是否做了放化疗：其余如间质瘤、骨髓增生异常综合征（MDS-RAEBI）、脑胶质瘤、额叶颞脑肿瘤、朗格汉斯细胞组织增多症。</w:t>
                      </w:r>
                    </w:p>
                    <w:p>
                      <w:pPr>
                        <w:ind w:firstLine="420" w:firstLineChars="200"/>
                        <w:rPr>
                          <w:rFonts w:ascii="宋体" w:hAnsi="宋体" w:cs="宋体"/>
                          <w:u w:val="single"/>
                        </w:rPr>
                      </w:pPr>
                      <w:r>
                        <w:rPr>
                          <w:rFonts w:hint="eastAsia" w:ascii="宋体" w:hAnsi="宋体" w:cs="宋体"/>
                          <w:u w:val="single"/>
                        </w:rPr>
                        <w:t>华氏巨球蛋白血症属恶性肿瘤，专用病历上可写“恶性肿瘤（华氏巨球蛋白血症）”。</w:t>
                      </w:r>
                    </w:p>
                    <w:p>
                      <w:pPr>
                        <w:numPr>
                          <w:ilvl w:val="0"/>
                          <w:numId w:val="2"/>
                        </w:numPr>
                        <w:ind w:left="0" w:firstLine="420" w:firstLineChars="200"/>
                        <w:rPr>
                          <w:rFonts w:ascii="宋体" w:hAnsi="宋体" w:cs="宋体"/>
                        </w:rPr>
                      </w:pPr>
                      <w:r>
                        <w:rPr>
                          <w:rFonts w:hint="eastAsia" w:ascii="宋体" w:hAnsi="宋体" w:cs="宋体"/>
                        </w:rPr>
                        <w:t>若疾病诊断书、出院小结、报告单等任何一份明确有转移，需在系统的“诊断意见”和专用病历本上写上“××恶性肿瘤伴××转移”。包括以前已审批恶性肿瘤，之后再诊断为“转移”，均需更改。只有病历显示转移一般不予采纳。</w:t>
                      </w:r>
                    </w:p>
                    <w:p>
                      <w:pPr>
                        <w:numPr>
                          <w:ilvl w:val="0"/>
                          <w:numId w:val="2"/>
                        </w:numPr>
                        <w:ind w:left="0" w:firstLine="420" w:firstLineChars="200"/>
                        <w:rPr>
                          <w:rFonts w:ascii="宋体" w:hAnsi="宋体" w:cs="宋体"/>
                        </w:rPr>
                      </w:pPr>
                      <w:r>
                        <w:rPr>
                          <w:rFonts w:hint="eastAsia" w:ascii="宋体" w:hAnsi="宋体" w:cs="宋体"/>
                        </w:rPr>
                        <w:t>在受理肺癌审批或报销时，材料在符合凯美纳适应症情况下，在特殊门诊申请里面的备注处写明该患者的凯美纳适应症（四种适应症之一），以便下次报销时患者免带适应症材料。</w:t>
                      </w:r>
                    </w:p>
                    <w:p>
                      <w:pPr>
                        <w:numPr>
                          <w:ilvl w:val="0"/>
                          <w:numId w:val="2"/>
                        </w:numPr>
                        <w:ind w:left="0" w:firstLine="420" w:firstLineChars="200"/>
                        <w:rPr>
                          <w:rFonts w:ascii="宋体" w:hAnsi="宋体" w:cs="宋体"/>
                        </w:rPr>
                      </w:pPr>
                      <w:r>
                        <w:rPr>
                          <w:rFonts w:hint="eastAsia" w:ascii="宋体" w:hAnsi="宋体" w:cs="宋体"/>
                        </w:rPr>
                        <w:t>对于出院诊断或报告单提示为恶性肿瘤可能（考虑）的，若已办理麻醉药品专用病历卡并有购药记录，可视确诊恶性肿瘤。</w:t>
                      </w:r>
                    </w:p>
                    <w:p>
                      <w:pPr>
                        <w:ind w:firstLine="420" w:firstLineChars="200"/>
                        <w:rPr>
                          <w:rFonts w:ascii="宋体" w:hAnsi="宋体" w:cs="宋体"/>
                          <w:u w:val="single"/>
                        </w:rPr>
                      </w:pPr>
                    </w:p>
                  </w:txbxContent>
                </v:textbox>
              </v:shape>
            </w:pict>
          </mc:Fallback>
        </mc:AlternateContent>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pStyle w:val="2"/>
        <w:rPr>
          <w:color w:val="auto"/>
        </w:rPr>
      </w:pPr>
      <w:bookmarkStart w:id="5" w:name="_Toc26878"/>
      <w:r>
        <w:rPr>
          <w:rFonts w:hint="eastAsia"/>
          <w:color w:val="auto"/>
        </w:rPr>
        <w:t>（二）尿毒症</w:t>
      </w:r>
      <w:bookmarkEnd w:id="5"/>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hint="eastAsia" w:ascii="宋体" w:hAnsi="宋体" w:eastAsia="宋体" w:cs="宋体"/>
          <w:color w:val="000000"/>
          <w:sz w:val="21"/>
          <w:szCs w:val="21"/>
        </w:rPr>
      </w:pPr>
      <w:r>
        <w:rPr>
          <w:rFonts w:hint="eastAsia" w:ascii="宋体" w:hAnsi="宋体" w:cs="宋体"/>
          <w:szCs w:val="21"/>
        </w:rPr>
        <w:t>（1）</w:t>
      </w:r>
      <w:r>
        <w:rPr>
          <w:rFonts w:hint="eastAsia" w:ascii="宋体" w:hAnsi="宋体" w:eastAsia="宋体" w:cs="宋体"/>
          <w:color w:val="0000FF"/>
          <w:sz w:val="21"/>
          <w:szCs w:val="21"/>
        </w:rPr>
        <w:t>临床确诊为</w:t>
      </w:r>
      <w:r>
        <w:rPr>
          <w:rFonts w:hint="eastAsia" w:ascii="宋体" w:hAnsi="宋体" w:eastAsia="宋体" w:cs="宋体"/>
          <w:color w:val="000000"/>
          <w:sz w:val="21"/>
          <w:szCs w:val="21"/>
        </w:rPr>
        <w:t>慢性肾功能不全（尿毒症期），需提供近期肾功能检测报告单（必要条件）。</w:t>
      </w:r>
    </w:p>
    <w:p>
      <w:pPr>
        <w:tabs>
          <w:tab w:val="left" w:pos="360"/>
        </w:tabs>
        <w:ind w:firstLine="420" w:firstLineChars="200"/>
        <w:jc w:val="left"/>
        <w:rPr>
          <w:rFonts w:ascii="宋体" w:hAnsi="宋体" w:cs="宋体"/>
          <w:szCs w:val="21"/>
        </w:rPr>
      </w:pPr>
      <w:r>
        <w:rPr>
          <w:rFonts w:hint="eastAsia" w:ascii="宋体" w:hAnsi="宋体" w:cs="宋体"/>
          <w:szCs w:val="21"/>
        </w:rPr>
        <w:t>（2）血透病人提供动静脉造瘘手术记录单及血液透析记录单（参考条件）。</w:t>
      </w:r>
    </w:p>
    <w:p>
      <w:pPr>
        <w:tabs>
          <w:tab w:val="left" w:pos="360"/>
        </w:tabs>
        <w:ind w:firstLine="420" w:firstLineChars="200"/>
        <w:jc w:val="left"/>
        <w:rPr>
          <w:rFonts w:ascii="宋体" w:hAnsi="宋体" w:cs="宋体"/>
          <w:szCs w:val="21"/>
        </w:rPr>
      </w:pPr>
      <w:r>
        <w:rPr>
          <w:rFonts w:hint="eastAsia" w:ascii="宋体" w:hAnsi="宋体" w:cs="宋体"/>
          <w:szCs w:val="21"/>
        </w:rPr>
        <w:t>（3）腹透病人提供腹透置管记录单及腹膜透析记录单（参考条件）。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———准入标准:必要条件一条+参考条件一条。</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（1）门诊血液透析（包括透析器）。</w:t>
      </w:r>
    </w:p>
    <w:p>
      <w:pPr>
        <w:tabs>
          <w:tab w:val="left" w:pos="360"/>
        </w:tabs>
        <w:ind w:firstLine="420" w:firstLineChars="200"/>
        <w:jc w:val="left"/>
        <w:rPr>
          <w:rFonts w:ascii="宋体" w:hAnsi="宋体" w:cs="宋体"/>
          <w:szCs w:val="21"/>
        </w:rPr>
      </w:pPr>
      <w:r>
        <w:rPr>
          <w:rFonts w:hint="eastAsia" w:ascii="宋体" w:hAnsi="宋体" w:cs="宋体"/>
          <w:szCs w:val="21"/>
        </w:rPr>
        <w:t>（2）门诊腹膜透析（包括腹透液、碘呋帽）。</w:t>
      </w:r>
    </w:p>
    <w:p>
      <w:pPr>
        <w:tabs>
          <w:tab w:val="left" w:pos="360"/>
        </w:tabs>
        <w:ind w:firstLine="420" w:firstLineChars="200"/>
        <w:jc w:val="left"/>
        <w:rPr>
          <w:rFonts w:ascii="宋体" w:hAnsi="宋体" w:cs="宋体"/>
          <w:szCs w:val="21"/>
        </w:rPr>
      </w:pPr>
      <w:r>
        <w:rPr>
          <w:rFonts w:hint="eastAsia" w:ascii="宋体" w:hAnsi="宋体" w:cs="宋体"/>
          <w:szCs w:val="21"/>
        </w:rPr>
        <w:t>（3）门诊血液滤过（包括滤过器）。</w:t>
      </w:r>
    </w:p>
    <w:p>
      <w:pPr>
        <w:tabs>
          <w:tab w:val="left" w:pos="360"/>
        </w:tabs>
        <w:ind w:firstLine="420" w:firstLineChars="200"/>
        <w:jc w:val="left"/>
        <w:rPr>
          <w:rFonts w:ascii="宋体" w:hAnsi="宋体" w:cs="宋体"/>
          <w:szCs w:val="21"/>
        </w:rPr>
      </w:pPr>
      <w:r>
        <w:rPr>
          <w:rFonts w:hint="eastAsia" w:ascii="宋体" w:hAnsi="宋体" w:cs="宋体"/>
          <w:szCs w:val="21"/>
        </w:rPr>
        <w:t>（4）复方a-酮酸。</w:t>
      </w:r>
    </w:p>
    <w:p>
      <w:pPr>
        <w:tabs>
          <w:tab w:val="left" w:pos="360"/>
        </w:tabs>
        <w:ind w:firstLine="420" w:firstLineChars="200"/>
        <w:jc w:val="left"/>
        <w:rPr>
          <w:rFonts w:ascii="宋体" w:hAnsi="宋体" w:cs="宋体"/>
          <w:szCs w:val="21"/>
        </w:rPr>
      </w:pPr>
      <w:r>
        <w:rPr>
          <w:rFonts w:hint="eastAsia" w:ascii="宋体" w:hAnsi="宋体" w:cs="宋体"/>
          <w:szCs w:val="21"/>
        </w:rPr>
        <w:t>（5）抗贫血药。</w:t>
      </w:r>
    </w:p>
    <w:p>
      <w:pPr>
        <w:tabs>
          <w:tab w:val="left" w:pos="360"/>
        </w:tabs>
        <w:ind w:firstLine="420" w:firstLineChars="200"/>
        <w:jc w:val="left"/>
        <w:rPr>
          <w:rFonts w:ascii="宋体" w:hAnsi="宋体" w:cs="宋体"/>
          <w:szCs w:val="21"/>
        </w:rPr>
      </w:pPr>
      <w:r>
        <w:rPr>
          <w:rFonts w:hint="eastAsia" w:ascii="宋体" w:hAnsi="宋体" w:cs="宋体"/>
          <w:szCs w:val="21"/>
        </w:rPr>
        <w:t>（6）降压药物。</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ascii="宋体" w:hAnsi="宋体" w:eastAsia="宋体" w:cs="宋体"/>
          <w:kern w:val="2"/>
          <w:sz w:val="21"/>
          <w:szCs w:val="22"/>
          <w:lang w:val="en-US" w:eastAsia="zh-CN" w:bidi="ar-SA"/>
        </w:rPr>
        <mc:AlternateContent>
          <mc:Choice Requires="wps">
            <w:drawing>
              <wp:anchor distT="0" distB="0" distL="114300" distR="114300" simplePos="0" relativeHeight="251780096" behindDoc="0" locked="0" layoutInCell="1" allowOverlap="1">
                <wp:simplePos x="0" y="0"/>
                <wp:positionH relativeFrom="column">
                  <wp:posOffset>-1270</wp:posOffset>
                </wp:positionH>
                <wp:positionV relativeFrom="paragraph">
                  <wp:posOffset>579120</wp:posOffset>
                </wp:positionV>
                <wp:extent cx="5382895" cy="1283335"/>
                <wp:effectExtent l="4445" t="4445" r="22860" b="7620"/>
                <wp:wrapNone/>
                <wp:docPr id="2" name="Quad Arrow 1181"/>
                <wp:cNvGraphicFramePr/>
                <a:graphic xmlns:a="http://schemas.openxmlformats.org/drawingml/2006/main">
                  <a:graphicData uri="http://schemas.microsoft.com/office/word/2010/wordprocessingShape">
                    <wps:wsp>
                      <wps:cNvSpPr txBox="1"/>
                      <wps:spPr>
                        <a:xfrm>
                          <a:off x="0" y="0"/>
                          <a:ext cx="5382895" cy="1283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有血液透析记录或腹膜透析记录，</w:t>
                            </w:r>
                            <w:r>
                              <w:rPr>
                                <w:rFonts w:hint="eastAsia" w:ascii="宋体" w:hAnsi="宋体" w:cs="宋体"/>
                                <w:color w:val="0000FF"/>
                                <w:lang w:eastAsia="zh-CN"/>
                              </w:rPr>
                              <w:t>且有“长期插管”或</w:t>
                            </w:r>
                            <w:r>
                              <w:rPr>
                                <w:rFonts w:hint="eastAsia" w:ascii="宋体" w:hAnsi="宋体" w:cs="宋体"/>
                                <w:color w:val="0000FF"/>
                              </w:rPr>
                              <w:t>动静脉造瘘手术</w:t>
                            </w:r>
                            <w:r>
                              <w:rPr>
                                <w:rFonts w:hint="eastAsia" w:ascii="宋体" w:hAnsi="宋体" w:cs="宋体"/>
                                <w:color w:val="0000FF"/>
                                <w:lang w:eastAsia="zh-CN"/>
                              </w:rPr>
                              <w:t>（血透）才</w:t>
                            </w:r>
                            <w:r>
                              <w:rPr>
                                <w:rFonts w:hint="eastAsia" w:ascii="宋体" w:hAnsi="宋体" w:cs="宋体"/>
                                <w:color w:val="0000FF"/>
                              </w:rPr>
                              <w:t>可以审批</w:t>
                            </w:r>
                            <w:r>
                              <w:rPr>
                                <w:rFonts w:hint="eastAsia" w:ascii="宋体" w:hAnsi="宋体" w:cs="宋体"/>
                              </w:rPr>
                              <w:t>。若有动静脉造瘘手术记录或腹透置管记录单，而无相关透析记录，可先按肾功能不全（非透析治疗）办理，并告知以后若有透析，可当天凭透析记录等材料来中心审批，当天可报销。</w:t>
                            </w:r>
                          </w:p>
                          <w:p>
                            <w:pPr>
                              <w:ind w:firstLine="320" w:firstLineChars="200"/>
                              <w:rPr>
                                <w:rFonts w:hint="eastAsia" w:ascii="宋体" w:hAnsi="宋体" w:eastAsia="宋体" w:cs="宋体"/>
                                <w:b w:val="0"/>
                                <w:bCs w:val="0"/>
                                <w:color w:val="0000FF"/>
                                <w:sz w:val="16"/>
                                <w:szCs w:val="18"/>
                                <w:lang w:eastAsia="zh-CN"/>
                              </w:rPr>
                            </w:pPr>
                            <w:r>
                              <w:rPr>
                                <w:rFonts w:hint="eastAsia" w:ascii="宋体" w:hAnsi="宋体" w:cs="宋体"/>
                                <w:b w:val="0"/>
                                <w:bCs w:val="0"/>
                                <w:color w:val="0000FF"/>
                                <w:sz w:val="16"/>
                                <w:szCs w:val="18"/>
                                <w:lang w:eastAsia="zh-CN"/>
                              </w:rPr>
                              <w:t>尿毒症属于肾功能衰竭（</w:t>
                            </w:r>
                            <w:r>
                              <w:rPr>
                                <w:rFonts w:hint="eastAsia" w:ascii="宋体" w:hAnsi="宋体" w:cs="宋体"/>
                                <w:b w:val="0"/>
                                <w:bCs w:val="0"/>
                                <w:color w:val="0000FF"/>
                                <w:sz w:val="16"/>
                                <w:szCs w:val="18"/>
                                <w:lang w:val="en-US" w:eastAsia="zh-CN"/>
                              </w:rPr>
                              <w:t>CKD</w:t>
                            </w:r>
                            <w:r>
                              <w:rPr>
                                <w:rFonts w:hint="eastAsia" w:ascii="宋体" w:hAnsi="宋体" w:cs="宋体"/>
                                <w:b w:val="0"/>
                                <w:bCs w:val="0"/>
                                <w:color w:val="0000FF"/>
                                <w:sz w:val="16"/>
                                <w:szCs w:val="18"/>
                                <w:lang w:eastAsia="zh-CN"/>
                              </w:rPr>
                              <w:t>）终末期即肾功能衰竭</w:t>
                            </w:r>
                            <w:r>
                              <w:rPr>
                                <w:rFonts w:hint="eastAsia" w:ascii="宋体" w:hAnsi="宋体" w:cs="宋体"/>
                                <w:b w:val="0"/>
                                <w:bCs w:val="0"/>
                                <w:color w:val="0000FF"/>
                                <w:sz w:val="16"/>
                                <w:szCs w:val="18"/>
                                <w:lang w:val="en-US" w:eastAsia="zh-CN"/>
                              </w:rPr>
                              <w:t>5期，出院记录诊断为肾病四期，提供后续的疾病诊断书诊断明确“尿毒症”则可以审批。</w:t>
                            </w:r>
                          </w:p>
                        </w:txbxContent>
                      </wps:txbx>
                      <wps:bodyPr upright="1"/>
                    </wps:wsp>
                  </a:graphicData>
                </a:graphic>
              </wp:anchor>
            </w:drawing>
          </mc:Choice>
          <mc:Fallback>
            <w:pict>
              <v:shape id="Quad Arrow 1181" o:spid="_x0000_s1026" o:spt="202" type="#_x0000_t202" style="position:absolute;left:0pt;margin-left:-0.1pt;margin-top:45.6pt;height:101.05pt;width:423.85pt;z-index:251780096;mso-width-relative:page;mso-height-relative:page;" fillcolor="#FFFFFF" filled="t" stroked="t" coordsize="21600,21600" o:gfxdata="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VWF&#10;0NkAAAAIAQAADwAAAAAAAAABACAAAAAiAAAAZHJzL2Rvd25yZXYueG1sUEsBAhQAFAAAAAgAh07i&#10;QIjLekzoAQAA7QMAAA4AAAAAAAAAAQAgAAAAKAEAAGRycy9lMm9Eb2MueG1sUEsFBgAAAAAGAAYA&#10;WQEAAIIFAAAAAA==&#10;">
                <v:fill on="t" focussize="0,0"/>
                <v:stroke color="#000000" joinstyle="miter"/>
                <v:imagedata o:title=""/>
                <o:lock v:ext="edit" aspectratio="f"/>
                <v:textbox>
                  <w:txbxContent>
                    <w:p>
                      <w:pPr>
                        <w:rPr>
                          <w:rFonts w:hint="eastAsia" w:ascii="宋体" w:hAnsi="宋体" w:cs="宋体"/>
                        </w:rPr>
                      </w:pPr>
                      <w:r>
                        <w:rPr>
                          <w:rFonts w:hint="eastAsia" w:ascii="宋体" w:hAnsi="宋体" w:cs="宋体"/>
                        </w:rPr>
                        <w:t>有血液透析记录或腹膜透析记录，</w:t>
                      </w:r>
                      <w:r>
                        <w:rPr>
                          <w:rFonts w:hint="eastAsia" w:ascii="宋体" w:hAnsi="宋体" w:cs="宋体"/>
                          <w:color w:val="0000FF"/>
                          <w:lang w:eastAsia="zh-CN"/>
                        </w:rPr>
                        <w:t>且有“长期插管”或</w:t>
                      </w:r>
                      <w:r>
                        <w:rPr>
                          <w:rFonts w:hint="eastAsia" w:ascii="宋体" w:hAnsi="宋体" w:cs="宋体"/>
                          <w:color w:val="0000FF"/>
                        </w:rPr>
                        <w:t>动静脉造瘘手术</w:t>
                      </w:r>
                      <w:r>
                        <w:rPr>
                          <w:rFonts w:hint="eastAsia" w:ascii="宋体" w:hAnsi="宋体" w:cs="宋体"/>
                          <w:color w:val="0000FF"/>
                          <w:lang w:eastAsia="zh-CN"/>
                        </w:rPr>
                        <w:t>（血透）才</w:t>
                      </w:r>
                      <w:r>
                        <w:rPr>
                          <w:rFonts w:hint="eastAsia" w:ascii="宋体" w:hAnsi="宋体" w:cs="宋体"/>
                          <w:color w:val="0000FF"/>
                        </w:rPr>
                        <w:t>可以审批</w:t>
                      </w:r>
                      <w:r>
                        <w:rPr>
                          <w:rFonts w:hint="eastAsia" w:ascii="宋体" w:hAnsi="宋体" w:cs="宋体"/>
                        </w:rPr>
                        <w:t>。若有动静脉造瘘手术记录或腹透置管记录单，而无相关透析记录，可先按肾功能不全（非透析治疗）办理，并告知以后若有透析，可当天凭透析记录等材料来中心审批，当天可报销。</w:t>
                      </w:r>
                    </w:p>
                    <w:p>
                      <w:pPr>
                        <w:ind w:firstLine="320" w:firstLineChars="200"/>
                        <w:rPr>
                          <w:rFonts w:hint="eastAsia" w:ascii="宋体" w:hAnsi="宋体" w:eastAsia="宋体" w:cs="宋体"/>
                          <w:b w:val="0"/>
                          <w:bCs w:val="0"/>
                          <w:color w:val="0000FF"/>
                          <w:sz w:val="16"/>
                          <w:szCs w:val="18"/>
                          <w:lang w:eastAsia="zh-CN"/>
                        </w:rPr>
                      </w:pPr>
                      <w:r>
                        <w:rPr>
                          <w:rFonts w:hint="eastAsia" w:ascii="宋体" w:hAnsi="宋体" w:cs="宋体"/>
                          <w:b w:val="0"/>
                          <w:bCs w:val="0"/>
                          <w:color w:val="0000FF"/>
                          <w:sz w:val="16"/>
                          <w:szCs w:val="18"/>
                          <w:lang w:eastAsia="zh-CN"/>
                        </w:rPr>
                        <w:t>尿毒症属于肾功能衰竭（</w:t>
                      </w:r>
                      <w:r>
                        <w:rPr>
                          <w:rFonts w:hint="eastAsia" w:ascii="宋体" w:hAnsi="宋体" w:cs="宋体"/>
                          <w:b w:val="0"/>
                          <w:bCs w:val="0"/>
                          <w:color w:val="0000FF"/>
                          <w:sz w:val="16"/>
                          <w:szCs w:val="18"/>
                          <w:lang w:val="en-US" w:eastAsia="zh-CN"/>
                        </w:rPr>
                        <w:t>CKD</w:t>
                      </w:r>
                      <w:r>
                        <w:rPr>
                          <w:rFonts w:hint="eastAsia" w:ascii="宋体" w:hAnsi="宋体" w:cs="宋体"/>
                          <w:b w:val="0"/>
                          <w:bCs w:val="0"/>
                          <w:color w:val="0000FF"/>
                          <w:sz w:val="16"/>
                          <w:szCs w:val="18"/>
                          <w:lang w:eastAsia="zh-CN"/>
                        </w:rPr>
                        <w:t>）终末期即肾功能衰竭</w:t>
                      </w:r>
                      <w:r>
                        <w:rPr>
                          <w:rFonts w:hint="eastAsia" w:ascii="宋体" w:hAnsi="宋体" w:cs="宋体"/>
                          <w:b w:val="0"/>
                          <w:bCs w:val="0"/>
                          <w:color w:val="0000FF"/>
                          <w:sz w:val="16"/>
                          <w:szCs w:val="18"/>
                          <w:lang w:val="en-US" w:eastAsia="zh-CN"/>
                        </w:rPr>
                        <w:t>5期，出院记录诊断为肾病四期，提供后续的疾病诊断书诊断明确“尿毒症”则可以审批。</w:t>
                      </w:r>
                    </w:p>
                  </w:txbxContent>
                </v:textbox>
              </v:shape>
            </w:pict>
          </mc:Fallback>
        </mc:AlternateContent>
      </w:r>
      <w:r>
        <w:rPr>
          <w:rFonts w:hint="eastAsia" w:ascii="宋体" w:hAnsi="宋体" w:cs="宋体"/>
          <w:szCs w:val="21"/>
        </w:rPr>
        <w:t>血常规（次/1-2月）、生化筛查常规（次/1-2月）、钙、磷测定（次/1-2月）、胸片（次/3月）、心超（次/3月）、乙肝（次/6个月）、丙肝（次/6个月）、甲状旁腺素测定（次/6个月）。</w:t>
      </w: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pStyle w:val="2"/>
        <w:rPr>
          <w:color w:val="auto"/>
        </w:rPr>
      </w:pPr>
      <w:bookmarkStart w:id="6" w:name="_Toc29521"/>
      <w:r>
        <w:rPr>
          <w:rFonts w:hint="eastAsia"/>
          <w:color w:val="auto"/>
        </w:rPr>
        <w:t>（三）组织或器官移植后抗排异治疗</w:t>
      </w:r>
      <w:bookmarkEnd w:id="6"/>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（1）既往有严重脏器疾病史,经手术移植异体组织或器官,移植后需长期服用抗排异药物治疗,并有三级医院专科科室的医师病历明确记载(必要条件)。</w:t>
      </w:r>
    </w:p>
    <w:p>
      <w:pPr>
        <w:tabs>
          <w:tab w:val="left" w:pos="360"/>
        </w:tabs>
        <w:ind w:firstLine="420" w:firstLineChars="200"/>
        <w:jc w:val="left"/>
        <w:rPr>
          <w:rFonts w:ascii="宋体" w:hAnsi="宋体" w:cs="宋体"/>
          <w:szCs w:val="21"/>
        </w:rPr>
      </w:pPr>
      <w:r>
        <w:rPr>
          <w:rFonts w:hint="eastAsia" w:ascii="宋体" w:hAnsi="宋体" w:cs="宋体"/>
          <w:szCs w:val="21"/>
        </w:rPr>
        <w:t>（2）提供移植手术记录单 (必要条件)。</w:t>
      </w:r>
    </w:p>
    <w:p>
      <w:pPr>
        <w:tabs>
          <w:tab w:val="left" w:pos="360"/>
        </w:tabs>
        <w:ind w:firstLine="420" w:firstLineChars="200"/>
        <w:jc w:val="left"/>
        <w:rPr>
          <w:rFonts w:ascii="宋体" w:hAnsi="宋体" w:cs="宋体"/>
          <w:szCs w:val="21"/>
        </w:rPr>
      </w:pPr>
      <w:r>
        <w:rPr>
          <w:rFonts w:hint="eastAsia" w:ascii="宋体" w:hAnsi="宋体" w:cs="宋体"/>
          <w:szCs w:val="21"/>
        </w:rPr>
        <w:t>（3）移植器官B超（参考条件）。</w:t>
      </w:r>
    </w:p>
    <w:p>
      <w:pPr>
        <w:tabs>
          <w:tab w:val="left" w:pos="360"/>
        </w:tabs>
        <w:ind w:firstLine="420" w:firstLineChars="200"/>
        <w:jc w:val="left"/>
        <w:rPr>
          <w:rFonts w:ascii="宋体" w:hAnsi="宋体" w:cs="宋体"/>
          <w:szCs w:val="21"/>
        </w:rPr>
      </w:pPr>
      <w:r>
        <w:rPr>
          <w:rFonts w:hint="eastAsia" w:ascii="宋体" w:hAnsi="宋体" w:cs="宋体"/>
          <w:szCs w:val="21"/>
        </w:rPr>
        <w:t>（4）抗排异药物浓度测定（参考条件）。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———准入标准:必要条件二条+参考条件一条或必要条件一条+参考条件二条。</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抗排异治疗：抗排异药物。</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抗排异治疗的药物浓度（次/1-2月）、血常规（次/1-2月）、生化筛查常规（次/1-2月）、尿常规（次/1-2月）。</w:t>
      </w:r>
    </w:p>
    <w:p>
      <w:pPr>
        <w:tabs>
          <w:tab w:val="left" w:pos="360"/>
        </w:tabs>
        <w:ind w:firstLine="420" w:firstLineChars="200"/>
        <w:jc w:val="left"/>
        <w:rPr>
          <w:rFonts w:ascii="宋体" w:hAnsi="宋体" w:cs="宋体"/>
          <w:szCs w:val="21"/>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781120" behindDoc="0" locked="0" layoutInCell="1" allowOverlap="1">
                <wp:simplePos x="0" y="0"/>
                <wp:positionH relativeFrom="column">
                  <wp:posOffset>5080</wp:posOffset>
                </wp:positionH>
                <wp:positionV relativeFrom="paragraph">
                  <wp:posOffset>68580</wp:posOffset>
                </wp:positionV>
                <wp:extent cx="5104130" cy="299720"/>
                <wp:effectExtent l="4445" t="4445" r="15875" b="19685"/>
                <wp:wrapNone/>
                <wp:docPr id="3" name="Quad Arrow 1182"/>
                <wp:cNvGraphicFramePr/>
                <a:graphic xmlns:a="http://schemas.openxmlformats.org/drawingml/2006/main">
                  <a:graphicData uri="http://schemas.microsoft.com/office/word/2010/wordprocessingShape">
                    <wps:wsp>
                      <wps:cNvSpPr txBox="1"/>
                      <wps:spPr>
                        <a:xfrm>
                          <a:off x="0" y="0"/>
                          <a:ext cx="5104130" cy="299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rPr>
                              <w:t>出院小结中有移植手术内容，可省相关手术记录，若没有提到，需提供手术记录单。</w:t>
                            </w:r>
                          </w:p>
                        </w:txbxContent>
                      </wps:txbx>
                      <wps:bodyPr upright="1"/>
                    </wps:wsp>
                  </a:graphicData>
                </a:graphic>
              </wp:anchor>
            </w:drawing>
          </mc:Choice>
          <mc:Fallback>
            <w:pict>
              <v:shape id="Quad Arrow 1182" o:spid="_x0000_s1026" o:spt="202" type="#_x0000_t202" style="position:absolute;left:0pt;margin-left:0.4pt;margin-top:5.4pt;height:23.6pt;width:401.9pt;z-index:251781120;mso-width-relative:page;mso-height-relative:page;" fillcolor="#FFFFFF" filled="t" stroked="t" coordsize="21600,21600" o:gfxdata="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vgDYc1AAA&#10;AAYBAAAPAAAAAAAAAAEAIAAAACIAAABkcnMvZG93bnJldi54bWxQSwECFAAUAAAACACHTuJAfADQ&#10;sekBAADsAwAADgAAAAAAAAABACAAAAAjAQAAZHJzL2Uyb0RvYy54bWxQSwUGAAAAAAYABgBZAQAA&#10;fgUAAAAA&#10;">
                <v:fill on="t" focussize="0,0"/>
                <v:stroke color="#000000" joinstyle="miter"/>
                <v:imagedata o:title=""/>
                <o:lock v:ext="edit" aspectratio="f"/>
                <v:textbox>
                  <w:txbxContent>
                    <w:p>
                      <w:pPr>
                        <w:rPr>
                          <w:rFonts w:ascii="宋体" w:hAnsi="宋体" w:cs="宋体"/>
                        </w:rPr>
                      </w:pPr>
                      <w:r>
                        <w:rPr>
                          <w:rFonts w:hint="eastAsia" w:ascii="宋体" w:hAnsi="宋体" w:cs="宋体"/>
                        </w:rPr>
                        <w:t>出院小结中有移植手术内容，可省相关手术记录，若没有提到，需提供手术记录单。</w:t>
                      </w:r>
                    </w:p>
                  </w:txbxContent>
                </v:textbox>
              </v:shape>
            </w:pict>
          </mc:Fallback>
        </mc:AlternateContent>
      </w:r>
    </w:p>
    <w:p>
      <w:pPr>
        <w:tabs>
          <w:tab w:val="left" w:pos="360"/>
        </w:tabs>
        <w:ind w:left="422"/>
        <w:jc w:val="left"/>
        <w:rPr>
          <w:rFonts w:ascii="宋体" w:hAnsi="宋体" w:cs="宋体"/>
          <w:szCs w:val="21"/>
        </w:rPr>
      </w:pPr>
    </w:p>
    <w:p>
      <w:pPr>
        <w:tabs>
          <w:tab w:val="left" w:pos="360"/>
        </w:tabs>
        <w:ind w:left="422"/>
        <w:jc w:val="left"/>
        <w:rPr>
          <w:rFonts w:ascii="宋体" w:hAnsi="宋体" w:cs="宋体"/>
          <w:szCs w:val="21"/>
        </w:rPr>
      </w:pPr>
    </w:p>
    <w:p>
      <w:pPr>
        <w:tabs>
          <w:tab w:val="left" w:pos="360"/>
        </w:tabs>
        <w:ind w:left="422"/>
        <w:jc w:val="left"/>
        <w:rPr>
          <w:rFonts w:ascii="宋体" w:hAnsi="宋体" w:cs="宋体"/>
          <w:szCs w:val="21"/>
        </w:rPr>
      </w:pPr>
    </w:p>
    <w:p>
      <w:pPr>
        <w:pStyle w:val="2"/>
        <w:rPr>
          <w:color w:val="auto"/>
        </w:rPr>
      </w:pPr>
      <w:bookmarkStart w:id="7" w:name="_Toc23716"/>
      <w:r>
        <w:rPr>
          <w:rFonts w:hint="eastAsia"/>
          <w:color w:val="auto"/>
        </w:rPr>
        <w:t>（四）失代偿期肝硬化</w:t>
      </w:r>
      <w:bookmarkEnd w:id="7"/>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（1）经</w:t>
      </w:r>
      <w:r>
        <w:rPr>
          <w:rFonts w:hint="eastAsia" w:ascii="宋体" w:hAnsi="宋体" w:cs="宋体"/>
          <w:color w:val="00B0F0"/>
          <w:szCs w:val="21"/>
          <w:lang w:eastAsia="zh-CN"/>
        </w:rPr>
        <w:t>临床</w:t>
      </w:r>
      <w:r>
        <w:rPr>
          <w:rFonts w:hint="eastAsia" w:ascii="宋体" w:hAnsi="宋体" w:cs="宋体"/>
          <w:szCs w:val="21"/>
        </w:rPr>
        <w:t>确诊为失代偿期肝硬化。(必要条件)。</w:t>
      </w:r>
    </w:p>
    <w:p>
      <w:pPr>
        <w:tabs>
          <w:tab w:val="left" w:pos="360"/>
        </w:tabs>
        <w:ind w:firstLine="420" w:firstLineChars="200"/>
        <w:jc w:val="left"/>
        <w:rPr>
          <w:rFonts w:ascii="宋体" w:hAnsi="宋体" w:cs="宋体"/>
          <w:szCs w:val="21"/>
        </w:rPr>
      </w:pPr>
      <w:r>
        <w:rPr>
          <w:rFonts w:hint="eastAsia" w:ascii="宋体" w:hAnsi="宋体" w:cs="宋体"/>
          <w:szCs w:val="21"/>
        </w:rPr>
        <w:t>（2）血生化检验:血清 ALT 和 AST 大于正常,血清白蛋白小于35g/L (参考条件)。</w:t>
      </w:r>
    </w:p>
    <w:p>
      <w:pPr>
        <w:tabs>
          <w:tab w:val="left" w:pos="360"/>
        </w:tabs>
        <w:ind w:firstLine="420" w:firstLineChars="200"/>
        <w:jc w:val="left"/>
        <w:rPr>
          <w:rFonts w:ascii="宋体" w:hAnsi="宋体" w:cs="宋体"/>
          <w:szCs w:val="21"/>
        </w:rPr>
      </w:pPr>
      <w:r>
        <w:rPr>
          <w:rFonts w:hint="eastAsia" w:ascii="宋体" w:hAnsi="宋体" w:cs="宋体"/>
          <w:szCs w:val="21"/>
        </w:rPr>
        <w:t>（3）血常规检验:血小板明显减少 (参考条件)。</w:t>
      </w:r>
    </w:p>
    <w:p>
      <w:pPr>
        <w:tabs>
          <w:tab w:val="left" w:pos="360"/>
        </w:tabs>
        <w:ind w:firstLine="420" w:firstLineChars="200"/>
        <w:jc w:val="left"/>
        <w:rPr>
          <w:rFonts w:ascii="宋体" w:hAnsi="宋体" w:cs="宋体"/>
          <w:szCs w:val="21"/>
        </w:rPr>
      </w:pPr>
      <w:r>
        <w:rPr>
          <w:rFonts w:hint="eastAsia" w:ascii="宋体" w:hAnsi="宋体" w:cs="宋体"/>
          <w:szCs w:val="21"/>
        </w:rPr>
        <w:t>（4）胃镜或钡餐检查:显示食管静脉曲张或食管胃底静脉曲张 (参考条件)。</w:t>
      </w:r>
    </w:p>
    <w:p>
      <w:pPr>
        <w:tabs>
          <w:tab w:val="left" w:pos="360"/>
        </w:tabs>
        <w:ind w:firstLine="420" w:firstLineChars="200"/>
        <w:jc w:val="left"/>
        <w:rPr>
          <w:rFonts w:ascii="宋体" w:hAnsi="宋体" w:cs="宋体"/>
          <w:szCs w:val="21"/>
        </w:rPr>
      </w:pPr>
      <w:r>
        <w:rPr>
          <w:rFonts w:hint="eastAsia" w:ascii="宋体" w:hAnsi="宋体" w:cs="宋体"/>
          <w:szCs w:val="21"/>
        </w:rPr>
        <w:t>（5）B超或CT检查:显示肝表面欠光滑、门静脉或脾静脉增宽、脾脏肿大、腹水等 (参考条件)。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———准入标准:必要条件一条+参考条件二条。</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（1）抗病毒治疗（核苷类逆转录酶抑制剂）。</w:t>
      </w:r>
    </w:p>
    <w:p>
      <w:pPr>
        <w:tabs>
          <w:tab w:val="left" w:pos="360"/>
        </w:tabs>
        <w:ind w:firstLine="420" w:firstLineChars="200"/>
        <w:jc w:val="left"/>
        <w:rPr>
          <w:rFonts w:ascii="宋体" w:hAnsi="宋体" w:cs="宋体"/>
          <w:szCs w:val="21"/>
        </w:rPr>
      </w:pPr>
      <w:r>
        <w:rPr>
          <w:rFonts w:hint="eastAsia" w:ascii="宋体" w:hAnsi="宋体" w:cs="宋体"/>
          <w:szCs w:val="21"/>
        </w:rPr>
        <w:t>（2）肝病辅助治疗药物。</w:t>
      </w:r>
    </w:p>
    <w:p>
      <w:pPr>
        <w:tabs>
          <w:tab w:val="left" w:pos="360"/>
        </w:tabs>
        <w:ind w:firstLine="420" w:firstLineChars="200"/>
        <w:jc w:val="left"/>
        <w:rPr>
          <w:rFonts w:ascii="宋体" w:hAnsi="宋体" w:cs="宋体"/>
          <w:szCs w:val="21"/>
        </w:rPr>
      </w:pPr>
      <w:r>
        <w:rPr>
          <w:rFonts w:hint="eastAsia" w:ascii="宋体" w:hAnsi="宋体" w:cs="宋体"/>
          <w:szCs w:val="21"/>
        </w:rPr>
        <w:t>（3）其他西药：利尿剂、降门脉高压药、β受体阻滞剂、生物制剂、升白细胞药物。</w:t>
      </w:r>
    </w:p>
    <w:p>
      <w:pPr>
        <w:tabs>
          <w:tab w:val="left" w:pos="360"/>
        </w:tabs>
        <w:ind w:firstLine="420" w:firstLineChars="200"/>
        <w:jc w:val="left"/>
        <w:rPr>
          <w:rFonts w:ascii="宋体" w:hAnsi="宋体" w:cs="宋体"/>
          <w:szCs w:val="21"/>
        </w:rPr>
      </w:pPr>
      <w:r>
        <w:rPr>
          <w:rFonts w:hint="eastAsia" w:ascii="宋体" w:hAnsi="宋体" w:cs="宋体"/>
          <w:szCs w:val="21"/>
        </w:rPr>
        <w:t>（4）中药饮片：限于本病。</w:t>
      </w:r>
    </w:p>
    <w:p>
      <w:pPr>
        <w:tabs>
          <w:tab w:val="left" w:pos="360"/>
        </w:tabs>
        <w:ind w:firstLine="420" w:firstLineChars="200"/>
        <w:jc w:val="left"/>
        <w:rPr>
          <w:rFonts w:ascii="宋体" w:hAnsi="宋体" w:cs="宋体"/>
          <w:szCs w:val="21"/>
        </w:rPr>
      </w:pPr>
      <w:r>
        <w:rPr>
          <w:rFonts w:hint="eastAsia" w:ascii="宋体" w:hAnsi="宋体" w:cs="宋体"/>
          <w:szCs w:val="21"/>
        </w:rPr>
        <w:t>3.检查：</w:t>
      </w:r>
    </w:p>
    <w:p>
      <w:pPr>
        <w:tabs>
          <w:tab w:val="left" w:pos="360"/>
        </w:tabs>
        <w:ind w:firstLine="420" w:firstLineChars="200"/>
        <w:jc w:val="left"/>
        <w:rPr>
          <w:rFonts w:ascii="宋体" w:hAnsi="宋体" w:cs="宋体"/>
          <w:szCs w:val="21"/>
        </w:rPr>
      </w:pPr>
      <w:r>
        <w:rPr>
          <w:rFonts w:hint="eastAsia" w:ascii="宋体" w:hAnsi="宋体" w:cs="宋体"/>
          <w:szCs w:val="21"/>
        </w:rPr>
        <w:t>血常规（次/月）、肝功能（次/月）、肝胆B超（次/3-6月）。</w:t>
      </w:r>
    </w:p>
    <w:p>
      <w:pPr>
        <w:tabs>
          <w:tab w:val="left" w:pos="360"/>
        </w:tabs>
        <w:ind w:firstLine="420" w:firstLineChars="200"/>
        <w:jc w:val="left"/>
        <w:rPr>
          <w:rFonts w:ascii="宋体" w:hAnsi="宋体" w:cs="宋体"/>
          <w:szCs w:val="21"/>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-3810</wp:posOffset>
                </wp:positionH>
                <wp:positionV relativeFrom="paragraph">
                  <wp:posOffset>11430</wp:posOffset>
                </wp:positionV>
                <wp:extent cx="5382895" cy="506095"/>
                <wp:effectExtent l="4445" t="4445" r="22860" b="22860"/>
                <wp:wrapNone/>
                <wp:docPr id="4" name="Quad Arrow 1183"/>
                <wp:cNvGraphicFramePr/>
                <a:graphic xmlns:a="http://schemas.openxmlformats.org/drawingml/2006/main">
                  <a:graphicData uri="http://schemas.microsoft.com/office/word/2010/wordprocessingShape">
                    <wps:wsp>
                      <wps:cNvSpPr txBox="1"/>
                      <wps:spPr>
                        <a:xfrm>
                          <a:off x="0" y="0"/>
                          <a:ext cx="5382895" cy="506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360"/>
                              </w:tabs>
                              <w:ind w:firstLine="420" w:firstLineChars="200"/>
                              <w:jc w:val="left"/>
                              <w:rPr>
                                <w:rFonts w:ascii="宋体" w:hAnsi="宋体" w:cs="宋体"/>
                                <w:szCs w:val="21"/>
                              </w:rPr>
                            </w:pPr>
                            <w:r>
                              <w:rPr>
                                <w:rFonts w:hint="eastAsia" w:ascii="宋体" w:hAnsi="宋体" w:cs="宋体"/>
                                <w:szCs w:val="21"/>
                              </w:rPr>
                              <w:t>审批病种时，注意有患肝炎者，需在“诊断意见”处再加上“（肝炎）”，若肝炎分型明确则写具体分型。</w:t>
                            </w:r>
                          </w:p>
                          <w:p>
                            <w:pPr>
                              <w:ind w:firstLine="420" w:firstLineChars="200"/>
                              <w:rPr>
                                <w:rFonts w:ascii="方正姚体" w:eastAsia="方正姚体"/>
                                <w:color w:val="FF0000"/>
                              </w:rPr>
                            </w:pPr>
                          </w:p>
                        </w:txbxContent>
                      </wps:txbx>
                      <wps:bodyPr upright="1"/>
                    </wps:wsp>
                  </a:graphicData>
                </a:graphic>
              </wp:anchor>
            </w:drawing>
          </mc:Choice>
          <mc:Fallback>
            <w:pict>
              <v:shape id="Quad Arrow 1183" o:spid="_x0000_s1026" o:spt="202" type="#_x0000_t202" style="position:absolute;left:0pt;margin-left:-0.3pt;margin-top:0.9pt;height:39.85pt;width:423.85pt;z-index:251782144;mso-width-relative:page;mso-height-relative:page;" fillcolor="#FFFFFF" filled="t" stroked="t" coordsize="21600,21600" o:gfxdata="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YYsWDVAAAA&#10;BgEAAA8AAAAAAAAAAQAgAAAAIgAAAGRycy9kb3ducmV2LnhtbFBLAQIUABQAAAAIAIdO4kClKtpW&#10;5wEAAOwDAAAOAAAAAAAAAAEAIAAAACQBAABkcnMvZTJvRG9jLnhtbFBLBQYAAAAABgAGAFkBAAB9&#10;BQAAAAA=&#10;">
                <v:fill on="t" focussize="0,0"/>
                <v:stroke color="#000000" joinstyle="miter"/>
                <v:imagedata o:title=""/>
                <o:lock v:ext="edit" aspectratio="f"/>
                <v:textbox>
                  <w:txbxContent>
                    <w:p>
                      <w:pPr>
                        <w:tabs>
                          <w:tab w:val="left" w:pos="360"/>
                        </w:tabs>
                        <w:ind w:firstLine="420" w:firstLineChars="200"/>
                        <w:jc w:val="left"/>
                        <w:rPr>
                          <w:rFonts w:ascii="宋体" w:hAnsi="宋体" w:cs="宋体"/>
                          <w:szCs w:val="21"/>
                        </w:rPr>
                      </w:pPr>
                      <w:r>
                        <w:rPr>
                          <w:rFonts w:hint="eastAsia" w:ascii="宋体" w:hAnsi="宋体" w:cs="宋体"/>
                          <w:szCs w:val="21"/>
                        </w:rPr>
                        <w:t>审批病种时，注意有患肝炎者，需在“诊断意见”处再加上“（肝炎）”，若肝炎分型明确则写具体分型。</w:t>
                      </w:r>
                    </w:p>
                    <w:p>
                      <w:pPr>
                        <w:ind w:firstLine="420" w:firstLineChars="200"/>
                        <w:rPr>
                          <w:rFonts w:ascii="方正姚体" w:eastAsia="方正姚体"/>
                          <w:color w:val="FF0000"/>
                        </w:rPr>
                      </w:pPr>
                    </w:p>
                  </w:txbxContent>
                </v:textbox>
              </v:shape>
            </w:pict>
          </mc:Fallback>
        </mc:AlternateContent>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pStyle w:val="2"/>
        <w:rPr>
          <w:color w:val="auto"/>
        </w:rPr>
      </w:pPr>
      <w:bookmarkStart w:id="8" w:name="_Toc10292"/>
      <w:r>
        <w:rPr>
          <w:rFonts w:hint="eastAsia"/>
          <w:color w:val="auto"/>
        </w:rPr>
        <w:t>（五）再生障碍性贫血</w:t>
      </w:r>
      <w:bookmarkEnd w:id="8"/>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（1）出现血液病临床症状,</w:t>
      </w:r>
      <w:r>
        <w:rPr>
          <w:rFonts w:hint="eastAsia" w:ascii="宋体" w:hAnsi="宋体" w:cs="宋体"/>
          <w:color w:val="00B0F0"/>
          <w:szCs w:val="21"/>
          <w:lang w:eastAsia="zh-CN"/>
        </w:rPr>
        <w:t>临床</w:t>
      </w:r>
      <w:r>
        <w:rPr>
          <w:rFonts w:hint="eastAsia" w:ascii="宋体" w:hAnsi="宋体" w:cs="宋体"/>
          <w:szCs w:val="21"/>
        </w:rPr>
        <w:t>确诊为再生障碍性贫血(必要条件)。</w:t>
      </w:r>
    </w:p>
    <w:p>
      <w:pPr>
        <w:tabs>
          <w:tab w:val="left" w:pos="360"/>
        </w:tabs>
        <w:ind w:firstLine="420" w:firstLineChars="200"/>
        <w:jc w:val="left"/>
        <w:rPr>
          <w:rFonts w:ascii="宋体" w:hAnsi="宋体" w:cs="宋体"/>
          <w:szCs w:val="21"/>
        </w:rPr>
      </w:pPr>
      <w:r>
        <w:rPr>
          <w:rFonts w:hint="eastAsia" w:ascii="宋体" w:hAnsi="宋体" w:cs="宋体"/>
          <w:szCs w:val="21"/>
        </w:rPr>
        <w:t>（2）骨髓象:显示该病特征性改变 (三系或两系,至少一个部位增生不良;如增生良好,常有晚幼红比例升高,巨核细胞明显减少;骨髓小粒中非造血细胞及脂肪细胞增加),明确诊断为再生障碍性贫血 (必要条件)。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———准入标准:必要条件二条。</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（1）西药：雄激素、肾上腺皮质激素、止血药、抗贫血药、升白细胞药、免疫抑制剂。</w:t>
      </w:r>
    </w:p>
    <w:p>
      <w:pPr>
        <w:tabs>
          <w:tab w:val="left" w:pos="360"/>
        </w:tabs>
        <w:ind w:firstLine="420" w:firstLineChars="200"/>
        <w:jc w:val="left"/>
        <w:rPr>
          <w:rFonts w:ascii="宋体" w:hAnsi="宋体" w:cs="宋体"/>
          <w:szCs w:val="21"/>
        </w:rPr>
      </w:pPr>
      <w:r>
        <w:rPr>
          <w:rFonts w:hint="eastAsia" w:ascii="宋体" w:hAnsi="宋体" w:cs="宋体"/>
          <w:szCs w:val="21"/>
        </w:rPr>
        <w:t>（2）中药饮片：限于本病。</w:t>
      </w:r>
    </w:p>
    <w:p>
      <w:pPr>
        <w:tabs>
          <w:tab w:val="left" w:pos="360"/>
        </w:tabs>
        <w:ind w:firstLine="420" w:firstLineChars="200"/>
        <w:jc w:val="left"/>
        <w:rPr>
          <w:rFonts w:ascii="宋体" w:hAnsi="宋体" w:cs="宋体"/>
          <w:szCs w:val="21"/>
        </w:rPr>
      </w:pPr>
      <w:r>
        <w:rPr>
          <w:rFonts w:hint="eastAsia" w:ascii="宋体" w:hAnsi="宋体" w:cs="宋体"/>
          <w:szCs w:val="21"/>
        </w:rPr>
        <w:t>（3）辅助治疗：输血。</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血常规（次/月）、生化筛查常规（次/月）、骨穿（次/3-6月）、骨髓活检（次/3-6月）。</w:t>
      </w:r>
    </w:p>
    <w:p>
      <w:pPr>
        <w:tabs>
          <w:tab w:val="left" w:pos="360"/>
        </w:tabs>
        <w:ind w:firstLine="420" w:firstLineChars="200"/>
        <w:jc w:val="left"/>
        <w:rPr>
          <w:rFonts w:ascii="宋体" w:hAnsi="宋体" w:cs="宋体"/>
          <w:szCs w:val="21"/>
        </w:rPr>
      </w:pPr>
    </w:p>
    <w:p>
      <w:pPr>
        <w:pStyle w:val="2"/>
        <w:rPr>
          <w:color w:val="auto"/>
        </w:rPr>
      </w:pPr>
      <w:bookmarkStart w:id="9" w:name="_Toc3483"/>
      <w:r>
        <w:rPr>
          <w:rFonts w:hint="eastAsia"/>
          <w:color w:val="auto"/>
        </w:rPr>
        <w:t>（六）系统性红斑狼疮(SLE)</w:t>
      </w:r>
      <w:bookmarkEnd w:id="9"/>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（1）出现颧颊红斑、盘状狼疮、光敏感等临床表现,经确诊为系统性红斑狼疮 (必要条件)。</w:t>
      </w:r>
    </w:p>
    <w:p>
      <w:pPr>
        <w:tabs>
          <w:tab w:val="left" w:pos="360"/>
        </w:tabs>
        <w:ind w:firstLine="420" w:firstLineChars="200"/>
        <w:jc w:val="left"/>
        <w:rPr>
          <w:rFonts w:ascii="宋体" w:hAnsi="宋体" w:cs="宋体"/>
          <w:szCs w:val="21"/>
        </w:rPr>
      </w:pPr>
      <w:r>
        <w:rPr>
          <w:rFonts w:hint="eastAsia" w:ascii="宋体" w:hAnsi="宋体" w:cs="宋体"/>
          <w:szCs w:val="21"/>
        </w:rPr>
        <w:t>（2）临床出现胸膜炎、心包炎、骨关节炎、癫痫发作或精神病症状并明确诊断 (参考条件)。</w:t>
      </w:r>
    </w:p>
    <w:p>
      <w:pPr>
        <w:tabs>
          <w:tab w:val="left" w:pos="360"/>
        </w:tabs>
        <w:ind w:firstLine="420" w:firstLineChars="200"/>
        <w:jc w:val="left"/>
        <w:rPr>
          <w:rFonts w:ascii="宋体" w:hAnsi="宋体" w:cs="宋体"/>
          <w:szCs w:val="21"/>
        </w:rPr>
      </w:pPr>
      <w:r>
        <w:rPr>
          <w:rFonts w:hint="eastAsia" w:ascii="宋体" w:hAnsi="宋体" w:cs="宋体"/>
          <w:szCs w:val="21"/>
        </w:rPr>
        <w:t>（3）尿液检验:出现蛋白尿 (尿蛋白&gt;0.5g/d)、或尿细胞管型 (参考条件)。</w:t>
      </w:r>
    </w:p>
    <w:p>
      <w:pPr>
        <w:tabs>
          <w:tab w:val="left" w:pos="360"/>
        </w:tabs>
        <w:ind w:firstLine="420" w:firstLineChars="200"/>
        <w:jc w:val="left"/>
        <w:rPr>
          <w:rFonts w:ascii="宋体" w:hAnsi="宋体" w:cs="宋体"/>
          <w:szCs w:val="21"/>
        </w:rPr>
      </w:pPr>
      <w:r>
        <w:rPr>
          <w:rFonts w:hint="eastAsia" w:ascii="宋体" w:hAnsi="宋体" w:cs="宋体"/>
          <w:szCs w:val="21"/>
        </w:rPr>
        <w:t>（4）血象检验:出现溶血性贫血、或白细胞&lt;4.0×109/L、或淋巴细胞&lt;1.5×109/L、或血小板&lt;10O×109/L (参考条件)。</w:t>
      </w:r>
    </w:p>
    <w:p>
      <w:pPr>
        <w:tabs>
          <w:tab w:val="left" w:pos="360"/>
        </w:tabs>
        <w:ind w:firstLine="420" w:firstLineChars="200"/>
        <w:jc w:val="left"/>
        <w:rPr>
          <w:rFonts w:ascii="宋体" w:hAnsi="宋体" w:cs="宋体"/>
          <w:szCs w:val="21"/>
        </w:rPr>
      </w:pPr>
      <w:r>
        <w:rPr>
          <w:rFonts w:hint="eastAsia" w:ascii="宋体" w:hAnsi="宋体" w:cs="宋体"/>
          <w:szCs w:val="21"/>
        </w:rPr>
        <w:t>（5）免疫学检测:抗ds-DNA 抗体、抗Sm 抗体或 LE细胞检测为阳性;或梅毒血清反应为假阳性;或荧光抗核抗体检测为阳性 (参考条件)。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———准入标准:必要条件一条+参考条件一条。</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（1）非甾体类抗炎药：如水杨酸类、消炎痛片。</w:t>
      </w:r>
    </w:p>
    <w:p>
      <w:pPr>
        <w:tabs>
          <w:tab w:val="left" w:pos="360"/>
        </w:tabs>
        <w:ind w:firstLine="420" w:firstLineChars="200"/>
        <w:jc w:val="left"/>
        <w:rPr>
          <w:rFonts w:ascii="宋体" w:hAnsi="宋体" w:cs="宋体"/>
          <w:szCs w:val="21"/>
        </w:rPr>
      </w:pPr>
      <w:r>
        <w:rPr>
          <w:rFonts w:hint="eastAsia" w:ascii="宋体" w:hAnsi="宋体" w:cs="宋体"/>
          <w:szCs w:val="21"/>
        </w:rPr>
        <w:t>（2）羟氯喹。</w:t>
      </w:r>
    </w:p>
    <w:p>
      <w:pPr>
        <w:tabs>
          <w:tab w:val="left" w:pos="360"/>
        </w:tabs>
        <w:ind w:firstLine="420" w:firstLineChars="200"/>
        <w:jc w:val="left"/>
        <w:rPr>
          <w:rFonts w:ascii="宋体" w:hAnsi="宋体" w:cs="宋体"/>
          <w:szCs w:val="21"/>
        </w:rPr>
      </w:pPr>
      <w:r>
        <w:rPr>
          <w:rFonts w:hint="eastAsia" w:ascii="宋体" w:hAnsi="宋体" w:cs="宋体"/>
          <w:szCs w:val="21"/>
        </w:rPr>
        <w:t>（3）肾上腺皮质激素：如泼尼松。</w:t>
      </w:r>
    </w:p>
    <w:p>
      <w:pPr>
        <w:tabs>
          <w:tab w:val="left" w:pos="360"/>
        </w:tabs>
        <w:ind w:firstLine="420" w:firstLineChars="200"/>
        <w:jc w:val="left"/>
        <w:rPr>
          <w:rFonts w:ascii="宋体" w:hAnsi="宋体" w:cs="宋体"/>
          <w:szCs w:val="21"/>
        </w:rPr>
      </w:pPr>
      <w:r>
        <w:rPr>
          <w:rFonts w:hint="eastAsia" w:ascii="宋体" w:hAnsi="宋体" w:cs="宋体"/>
          <w:szCs w:val="21"/>
        </w:rPr>
        <w:t>（4）免疫抑制剂：如吗替麦考酚酯（片剂、胶囊剂）、硫唑嘌呤。</w:t>
      </w:r>
    </w:p>
    <w:p>
      <w:pPr>
        <w:tabs>
          <w:tab w:val="left" w:pos="360"/>
        </w:tabs>
        <w:ind w:firstLine="420" w:firstLineChars="200"/>
        <w:jc w:val="left"/>
        <w:rPr>
          <w:rFonts w:ascii="宋体" w:hAnsi="宋体" w:cs="宋体"/>
          <w:szCs w:val="21"/>
        </w:rPr>
      </w:pPr>
      <w:r>
        <w:rPr>
          <w:rFonts w:hint="eastAsia" w:ascii="宋体" w:hAnsi="宋体" w:cs="宋体"/>
          <w:szCs w:val="21"/>
        </w:rPr>
        <w:t>（5）细胞毒药物：如环磷酰胺。</w:t>
      </w:r>
    </w:p>
    <w:p>
      <w:pPr>
        <w:tabs>
          <w:tab w:val="left" w:pos="360"/>
        </w:tabs>
        <w:ind w:firstLine="420" w:firstLineChars="200"/>
        <w:jc w:val="left"/>
        <w:rPr>
          <w:rFonts w:ascii="宋体" w:hAnsi="宋体" w:cs="宋体"/>
          <w:szCs w:val="21"/>
        </w:rPr>
      </w:pPr>
      <w:r>
        <w:rPr>
          <w:rFonts w:hint="eastAsia" w:ascii="宋体" w:hAnsi="宋体" w:cs="宋体"/>
          <w:szCs w:val="21"/>
        </w:rPr>
        <w:t>（6）中药饮片：限于本病。</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血（次/月）、尿常规（次/月）、血沉（次/月）、生化筛查常规（次/月），免疫系列（次/3-6月）、抗核抗体系列（次/3月）。</w:t>
      </w:r>
    </w:p>
    <w:p>
      <w:pPr>
        <w:tabs>
          <w:tab w:val="left" w:pos="360"/>
        </w:tabs>
        <w:ind w:firstLine="420" w:firstLineChars="200"/>
        <w:jc w:val="left"/>
        <w:rPr>
          <w:rFonts w:ascii="宋体" w:hAnsi="宋体" w:cs="宋体"/>
          <w:szCs w:val="21"/>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783168" behindDoc="0" locked="0" layoutInCell="1" allowOverlap="1">
                <wp:simplePos x="0" y="0"/>
                <wp:positionH relativeFrom="column">
                  <wp:posOffset>-34925</wp:posOffset>
                </wp:positionH>
                <wp:positionV relativeFrom="paragraph">
                  <wp:posOffset>133350</wp:posOffset>
                </wp:positionV>
                <wp:extent cx="5382895" cy="304800"/>
                <wp:effectExtent l="4445" t="4445" r="22860" b="14605"/>
                <wp:wrapNone/>
                <wp:docPr id="5" name="Quad Arrow 1184"/>
                <wp:cNvGraphicFramePr/>
                <a:graphic xmlns:a="http://schemas.openxmlformats.org/drawingml/2006/main">
                  <a:graphicData uri="http://schemas.microsoft.com/office/word/2010/wordprocessingShape">
                    <wps:wsp>
                      <wps:cNvSpPr txBox="1"/>
                      <wps:spPr>
                        <a:xfrm>
                          <a:off x="0" y="0"/>
                          <a:ext cx="538289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rPr>
                                <w:rFonts w:ascii="宋体" w:hAnsi="宋体" w:cs="宋体"/>
                                <w:u w:val="single"/>
                              </w:rPr>
                            </w:pPr>
                            <w:r>
                              <w:rPr>
                                <w:rFonts w:hint="eastAsia" w:ascii="宋体" w:hAnsi="宋体" w:cs="宋体"/>
                                <w:u w:val="single"/>
                              </w:rPr>
                              <w:t>尿液检验尿蛋白必须按24小时的定量来判断，定性不作依据。（如下图划线部分）</w:t>
                            </w:r>
                          </w:p>
                          <w:p>
                            <w:pPr>
                              <w:ind w:left="420"/>
                              <w:rPr>
                                <w:u w:val="single"/>
                              </w:rPr>
                            </w:pPr>
                          </w:p>
                          <w:p>
                            <w:pPr>
                              <w:ind w:left="420"/>
                              <w:rPr>
                                <w:u w:val="single"/>
                              </w:rPr>
                            </w:pPr>
                          </w:p>
                          <w:p>
                            <w:pPr>
                              <w:ind w:left="420"/>
                              <w:rPr>
                                <w:u w:val="single"/>
                              </w:rPr>
                            </w:pPr>
                          </w:p>
                          <w:p>
                            <w:pPr>
                              <w:ind w:left="420"/>
                              <w:rPr>
                                <w:u w:val="single"/>
                              </w:rPr>
                            </w:pPr>
                          </w:p>
                          <w:p>
                            <w:pPr>
                              <w:ind w:left="420"/>
                              <w:rPr>
                                <w:u w:val="single"/>
                              </w:rPr>
                            </w:pPr>
                          </w:p>
                          <w:p>
                            <w:pPr>
                              <w:ind w:left="420"/>
                              <w:rPr>
                                <w:u w:val="single"/>
                              </w:rPr>
                            </w:pPr>
                          </w:p>
                        </w:txbxContent>
                      </wps:txbx>
                      <wps:bodyPr upright="1"/>
                    </wps:wsp>
                  </a:graphicData>
                </a:graphic>
              </wp:anchor>
            </w:drawing>
          </mc:Choice>
          <mc:Fallback>
            <w:pict>
              <v:shape id="Quad Arrow 1184" o:spid="_x0000_s1026" o:spt="202" type="#_x0000_t202" style="position:absolute;left:0pt;margin-left:-2.75pt;margin-top:10.5pt;height:24pt;width:423.85pt;z-index:251783168;mso-width-relative:page;mso-height-relative:page;" fillcolor="#FFFFFF" filled="t" stroked="t" coordsize="21600,21600" o:gfxdata="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Ba&#10;R9gAAAAIAQAADwAAAAAAAAABACAAAAAiAAAAZHJzL2Rvd25yZXYueG1sUEsBAhQAFAAAAAgAh07i&#10;QJrGtM/pAQAA7AMAAA4AAAAAAAAAAQAgAAAAJwEAAGRycy9lMm9Eb2MueG1sUEsFBgAAAAAGAAYA&#10;WQEAAIIFAAAAAA==&#10;">
                <v:fill on="t" focussize="0,0"/>
                <v:stroke color="#000000" joinstyle="miter"/>
                <v:imagedata o:title=""/>
                <o:lock v:ext="edit" aspectratio="f"/>
                <v:textbox>
                  <w:txbxContent>
                    <w:p>
                      <w:pPr>
                        <w:ind w:left="420"/>
                        <w:rPr>
                          <w:rFonts w:ascii="宋体" w:hAnsi="宋体" w:cs="宋体"/>
                          <w:u w:val="single"/>
                        </w:rPr>
                      </w:pPr>
                      <w:r>
                        <w:rPr>
                          <w:rFonts w:hint="eastAsia" w:ascii="宋体" w:hAnsi="宋体" w:cs="宋体"/>
                          <w:u w:val="single"/>
                        </w:rPr>
                        <w:t>尿液检验尿蛋白必须按24小时的定量来判断，定性不作依据。（如下图划线部分）</w:t>
                      </w:r>
                    </w:p>
                    <w:p>
                      <w:pPr>
                        <w:ind w:left="420"/>
                        <w:rPr>
                          <w:u w:val="single"/>
                        </w:rPr>
                      </w:pPr>
                    </w:p>
                    <w:p>
                      <w:pPr>
                        <w:ind w:left="420"/>
                        <w:rPr>
                          <w:u w:val="single"/>
                        </w:rPr>
                      </w:pPr>
                    </w:p>
                    <w:p>
                      <w:pPr>
                        <w:ind w:left="420"/>
                        <w:rPr>
                          <w:u w:val="single"/>
                        </w:rPr>
                      </w:pPr>
                    </w:p>
                    <w:p>
                      <w:pPr>
                        <w:ind w:left="420"/>
                        <w:rPr>
                          <w:u w:val="single"/>
                        </w:rPr>
                      </w:pPr>
                    </w:p>
                    <w:p>
                      <w:pPr>
                        <w:ind w:left="420"/>
                        <w:rPr>
                          <w:u w:val="single"/>
                        </w:rPr>
                      </w:pPr>
                    </w:p>
                    <w:p>
                      <w:pPr>
                        <w:ind w:left="420"/>
                        <w:rPr>
                          <w:u w:val="single"/>
                        </w:rPr>
                      </w:pPr>
                    </w:p>
                  </w:txbxContent>
                </v:textbox>
              </v:shape>
            </w:pict>
          </mc:Fallback>
        </mc:AlternateContent>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r>
        <w:rPr>
          <w:rFonts w:ascii="宋体" w:hAnsi="宋体" w:eastAsia="宋体" w:cs="宋体"/>
          <w:kern w:val="2"/>
          <w:sz w:val="21"/>
          <w:szCs w:val="22"/>
          <w:lang w:val="en-US" w:eastAsia="zh-CN" w:bidi="ar-SA"/>
        </w:rPr>
        <w:drawing>
          <wp:anchor distT="0" distB="0" distL="114300" distR="114300" simplePos="0" relativeHeight="251784192" behindDoc="0" locked="0" layoutInCell="1" allowOverlap="1">
            <wp:simplePos x="0" y="0"/>
            <wp:positionH relativeFrom="column">
              <wp:posOffset>276225</wp:posOffset>
            </wp:positionH>
            <wp:positionV relativeFrom="paragraph">
              <wp:posOffset>321945</wp:posOffset>
            </wp:positionV>
            <wp:extent cx="4956175" cy="465455"/>
            <wp:effectExtent l="0" t="0" r="15875" b="10795"/>
            <wp:wrapSquare wrapText="bothSides"/>
            <wp:docPr id="6"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85"/>
                    <pic:cNvPicPr>
                      <a:picLocks noChangeAspect="1"/>
                    </pic:cNvPicPr>
                  </pic:nvPicPr>
                  <pic:blipFill>
                    <a:blip r:embed="rId4">
                      <a:lum/>
                    </a:blip>
                    <a:stretch>
                      <a:fillRect/>
                    </a:stretch>
                  </pic:blipFill>
                  <pic:spPr>
                    <a:xfrm>
                      <a:off x="0" y="0"/>
                      <a:ext cx="4956175" cy="465455"/>
                    </a:xfrm>
                    <a:prstGeom prst="rect">
                      <a:avLst/>
                    </a:prstGeom>
                    <a:noFill/>
                    <a:ln w="9525">
                      <a:noFill/>
                    </a:ln>
                  </pic:spPr>
                </pic:pic>
              </a:graphicData>
            </a:graphic>
          </wp:anchor>
        </w:drawing>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r>
        <w:rPr>
          <w:rFonts w:hint="eastAsia" w:ascii="宋体" w:hAnsi="宋体" w:cs="宋体"/>
          <w:szCs w:val="21"/>
        </w:rPr>
        <w:t>以上“24小时尿蛋白总量”为文件要求的参考指标。单位“G/24H”就是 “G/D”。</w:t>
      </w:r>
    </w:p>
    <w:p>
      <w:pPr>
        <w:tabs>
          <w:tab w:val="left" w:pos="360"/>
        </w:tabs>
        <w:ind w:firstLine="420" w:firstLineChars="200"/>
        <w:jc w:val="left"/>
        <w:rPr>
          <w:rFonts w:ascii="宋体" w:hAnsi="宋体" w:cs="宋体"/>
          <w:szCs w:val="21"/>
        </w:rPr>
      </w:pPr>
      <w:r>
        <w:rPr>
          <w:rFonts w:hint="eastAsia" w:ascii="宋体" w:hAnsi="宋体" w:cs="宋体"/>
          <w:szCs w:val="21"/>
        </w:rPr>
        <w:t>以上“尿蛋白定量”中G/DL与G/L的区别：DL为分升，L为升，1/10×L＝DL。</w:t>
      </w:r>
    </w:p>
    <w:p>
      <w:pPr>
        <w:tabs>
          <w:tab w:val="left" w:pos="360"/>
        </w:tabs>
        <w:ind w:firstLine="420" w:firstLineChars="200"/>
        <w:jc w:val="left"/>
        <w:rPr>
          <w:rFonts w:ascii="宋体" w:hAnsi="宋体" w:cs="宋体"/>
          <w:szCs w:val="21"/>
        </w:rPr>
      </w:pPr>
      <w:r>
        <w:rPr>
          <w:rFonts w:ascii="宋体" w:hAnsi="宋体" w:eastAsia="宋体" w:cs="宋体"/>
          <w:kern w:val="2"/>
          <w:sz w:val="21"/>
          <w:szCs w:val="22"/>
          <w:lang w:val="en-US" w:eastAsia="zh-CN" w:bidi="ar-SA"/>
        </w:rPr>
        <w:drawing>
          <wp:anchor distT="0" distB="0" distL="114300" distR="114300" simplePos="0" relativeHeight="251785216" behindDoc="0" locked="0" layoutInCell="1" allowOverlap="1">
            <wp:simplePos x="0" y="0"/>
            <wp:positionH relativeFrom="column">
              <wp:posOffset>-101600</wp:posOffset>
            </wp:positionH>
            <wp:positionV relativeFrom="paragraph">
              <wp:posOffset>202565</wp:posOffset>
            </wp:positionV>
            <wp:extent cx="5382895" cy="3634740"/>
            <wp:effectExtent l="0" t="0" r="8255" b="3810"/>
            <wp:wrapSquare wrapText="bothSides"/>
            <wp:docPr id="7" name="Picture 118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86" descr="1111"/>
                    <pic:cNvPicPr>
                      <a:picLocks noChangeAspect="1"/>
                    </pic:cNvPicPr>
                  </pic:nvPicPr>
                  <pic:blipFill>
                    <a:blip r:embed="rId5">
                      <a:lum/>
                    </a:blip>
                    <a:stretch>
                      <a:fillRect/>
                    </a:stretch>
                  </pic:blipFill>
                  <pic:spPr>
                    <a:xfrm>
                      <a:off x="0" y="0"/>
                      <a:ext cx="5382895" cy="3634740"/>
                    </a:xfrm>
                    <a:prstGeom prst="rect">
                      <a:avLst/>
                    </a:prstGeom>
                    <a:noFill/>
                    <a:ln w="9525">
                      <a:noFill/>
                    </a:ln>
                  </pic:spPr>
                </pic:pic>
              </a:graphicData>
            </a:graphic>
          </wp:anchor>
        </w:drawing>
      </w:r>
    </w:p>
    <w:p>
      <w:pPr>
        <w:tabs>
          <w:tab w:val="left" w:pos="360"/>
        </w:tabs>
        <w:ind w:firstLine="420" w:firstLineChars="200"/>
        <w:jc w:val="left"/>
        <w:rPr>
          <w:rFonts w:ascii="宋体" w:hAnsi="宋体" w:cs="宋体"/>
          <w:szCs w:val="21"/>
        </w:rPr>
      </w:pPr>
      <w:r>
        <w:rPr>
          <w:rFonts w:ascii="宋体" w:hAnsi="宋体" w:eastAsia="宋体" w:cs="宋体"/>
          <w:kern w:val="2"/>
          <w:sz w:val="21"/>
          <w:szCs w:val="22"/>
          <w:lang w:val="en-US" w:eastAsia="zh-CN" w:bidi="ar-SA"/>
        </w:rPr>
        <w:drawing>
          <wp:anchor distT="0" distB="0" distL="114300" distR="114300" simplePos="0" relativeHeight="251786240" behindDoc="0" locked="0" layoutInCell="1" allowOverlap="1">
            <wp:simplePos x="0" y="0"/>
            <wp:positionH relativeFrom="column">
              <wp:posOffset>-101600</wp:posOffset>
            </wp:positionH>
            <wp:positionV relativeFrom="paragraph">
              <wp:posOffset>4274820</wp:posOffset>
            </wp:positionV>
            <wp:extent cx="5329555" cy="3790950"/>
            <wp:effectExtent l="0" t="0" r="4445" b="0"/>
            <wp:wrapSquare wrapText="bothSides"/>
            <wp:docPr id="8" name="Picture 1187"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87" descr="22222"/>
                    <pic:cNvPicPr>
                      <a:picLocks noChangeAspect="1"/>
                    </pic:cNvPicPr>
                  </pic:nvPicPr>
                  <pic:blipFill>
                    <a:blip r:embed="rId6">
                      <a:lum/>
                    </a:blip>
                    <a:stretch>
                      <a:fillRect/>
                    </a:stretch>
                  </pic:blipFill>
                  <pic:spPr>
                    <a:xfrm>
                      <a:off x="0" y="0"/>
                      <a:ext cx="5329555" cy="3790950"/>
                    </a:xfrm>
                    <a:prstGeom prst="rect">
                      <a:avLst/>
                    </a:prstGeom>
                    <a:noFill/>
                    <a:ln w="9525">
                      <a:noFill/>
                    </a:ln>
                  </pic:spPr>
                </pic:pic>
              </a:graphicData>
            </a:graphic>
          </wp:anchor>
        </w:drawing>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pStyle w:val="2"/>
        <w:rPr>
          <w:color w:val="auto"/>
        </w:rPr>
      </w:pPr>
      <w:bookmarkStart w:id="10" w:name="_Toc10509"/>
      <w:r>
        <w:rPr>
          <w:rFonts w:hint="eastAsia"/>
          <w:color w:val="auto"/>
        </w:rPr>
        <w:t>（七）精神病</w:t>
      </w:r>
      <w:bookmarkEnd w:id="10"/>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经二级（含）以上精神专科医院中级（含）以上医师或二级（含）以上综合性医院精神、心理科中级（含）以上专业医师确诊为精神病的病人。</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（1）规范内抗精神病药治疗。</w:t>
      </w:r>
    </w:p>
    <w:p>
      <w:pPr>
        <w:tabs>
          <w:tab w:val="left" w:pos="360"/>
        </w:tabs>
        <w:ind w:firstLine="420" w:firstLineChars="200"/>
        <w:jc w:val="left"/>
        <w:rPr>
          <w:rFonts w:ascii="宋体" w:hAnsi="宋体" w:cs="宋体"/>
          <w:szCs w:val="21"/>
        </w:rPr>
      </w:pPr>
      <w:r>
        <w:rPr>
          <w:rFonts w:hint="eastAsia" w:ascii="宋体" w:hAnsi="宋体" w:cs="宋体"/>
          <w:szCs w:val="21"/>
        </w:rPr>
        <w:t>（2）中成药：如柏子养心丸、天王补心丸、七叶神安片、逍遥丸、苏合香丸等。</w:t>
      </w:r>
    </w:p>
    <w:p>
      <w:pPr>
        <w:tabs>
          <w:tab w:val="left" w:pos="360"/>
        </w:tabs>
        <w:ind w:firstLine="420" w:firstLineChars="200"/>
        <w:jc w:val="left"/>
        <w:rPr>
          <w:rFonts w:ascii="宋体" w:hAnsi="宋体" w:cs="宋体"/>
          <w:szCs w:val="21"/>
        </w:rPr>
      </w:pPr>
      <w:r>
        <w:rPr>
          <w:rFonts w:hint="eastAsia" w:ascii="宋体" w:hAnsi="宋体" w:cs="宋体"/>
          <w:szCs w:val="21"/>
        </w:rPr>
        <w:t>（3）中药饮片：限于本病。</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血常规（次/3月）、生化筛查常规（次/3月）。</w:t>
      </w:r>
    </w:p>
    <w:p>
      <w:pPr>
        <w:tabs>
          <w:tab w:val="left" w:pos="360"/>
        </w:tabs>
        <w:ind w:left="422"/>
        <w:jc w:val="left"/>
        <w:rPr>
          <w:rFonts w:ascii="宋体" w:hAnsi="宋体" w:cs="宋体"/>
          <w:b/>
          <w:szCs w:val="21"/>
        </w:rPr>
      </w:pPr>
      <w:r>
        <w:rPr>
          <w:rFonts w:ascii="宋体" w:hAnsi="宋体" w:eastAsia="宋体" w:cs="宋体"/>
          <w:b/>
          <w:kern w:val="2"/>
          <w:sz w:val="21"/>
          <w:szCs w:val="21"/>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73660</wp:posOffset>
                </wp:positionH>
                <wp:positionV relativeFrom="paragraph">
                  <wp:posOffset>61595</wp:posOffset>
                </wp:positionV>
                <wp:extent cx="5382895" cy="913130"/>
                <wp:effectExtent l="4445" t="4445" r="22860" b="15875"/>
                <wp:wrapNone/>
                <wp:docPr id="9" name="Quad Arrow 1188"/>
                <wp:cNvGraphicFramePr/>
                <a:graphic xmlns:a="http://schemas.openxmlformats.org/drawingml/2006/main">
                  <a:graphicData uri="http://schemas.microsoft.com/office/word/2010/wordprocessingShape">
                    <wps:wsp>
                      <wps:cNvSpPr txBox="1"/>
                      <wps:spPr>
                        <a:xfrm>
                          <a:off x="0" y="0"/>
                          <a:ext cx="5382895" cy="913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
                              </w:numPr>
                              <w:ind w:left="0" w:firstLine="420" w:firstLineChars="200"/>
                              <w:rPr>
                                <w:rFonts w:ascii="宋体" w:hAnsi="宋体" w:cs="宋体"/>
                              </w:rPr>
                            </w:pPr>
                            <w:r>
                              <w:rPr>
                                <w:rFonts w:hint="eastAsia" w:ascii="宋体" w:hAnsi="宋体" w:cs="宋体"/>
                              </w:rPr>
                              <w:t>没有住院，门诊看病的，需</w:t>
                            </w:r>
                            <w:r>
                              <w:rPr>
                                <w:rFonts w:hint="eastAsia" w:ascii="宋体" w:hAnsi="宋体" w:cs="宋体"/>
                                <w:color w:val="0000FF"/>
                                <w:lang w:eastAsia="zh-CN"/>
                              </w:rPr>
                              <w:t>病历</w:t>
                            </w:r>
                            <w:r>
                              <w:rPr>
                                <w:rFonts w:hint="eastAsia" w:ascii="宋体" w:hAnsi="宋体" w:cs="宋体"/>
                                <w:color w:val="0000FF"/>
                              </w:rPr>
                              <w:t>诊断明确</w:t>
                            </w:r>
                            <w:r>
                              <w:rPr>
                                <w:rFonts w:hint="eastAsia" w:ascii="宋体" w:hAnsi="宋体" w:cs="宋体"/>
                              </w:rPr>
                              <w:t>，温岭市内需温岭市精神康复医院、温岭市第一人民医院，台州市内需台州医院、台州市中心医院、台州市第二人民医院提供的</w:t>
                            </w:r>
                            <w:r>
                              <w:rPr>
                                <w:rFonts w:hint="eastAsia" w:ascii="宋体" w:hAnsi="宋体" w:cs="宋体"/>
                                <w:color w:val="0000FF"/>
                                <w:lang w:eastAsia="zh-CN"/>
                              </w:rPr>
                              <w:t>病历</w:t>
                            </w:r>
                            <w:r>
                              <w:rPr>
                                <w:rFonts w:hint="eastAsia" w:ascii="宋体" w:hAnsi="宋体" w:cs="宋体"/>
                                <w:color w:val="0000FF"/>
                              </w:rPr>
                              <w:t>诊断</w:t>
                            </w:r>
                            <w:r>
                              <w:rPr>
                                <w:rFonts w:hint="eastAsia" w:ascii="宋体" w:hAnsi="宋体" w:cs="宋体"/>
                              </w:rPr>
                              <w:t>，</w:t>
                            </w:r>
                            <w:r>
                              <w:rPr>
                                <w:rFonts w:hint="eastAsia" w:ascii="宋体" w:hAnsi="宋体" w:cs="宋体"/>
                                <w:color w:val="0000FF"/>
                                <w:lang w:eastAsia="zh-CN"/>
                              </w:rPr>
                              <w:t>或提供诊断明确的疾病诊断书（条件参考《总则第</w:t>
                            </w:r>
                            <w:r>
                              <w:rPr>
                                <w:rFonts w:hint="eastAsia" w:ascii="宋体" w:hAnsi="宋体" w:cs="宋体"/>
                                <w:color w:val="0000FF"/>
                                <w:lang w:val="en-US" w:eastAsia="zh-CN"/>
                              </w:rPr>
                              <w:t>2</w:t>
                            </w:r>
                            <w:r>
                              <w:rPr>
                                <w:rFonts w:hint="eastAsia" w:ascii="宋体" w:hAnsi="宋体" w:cs="宋体"/>
                                <w:color w:val="0000FF"/>
                                <w:lang w:eastAsia="zh-CN"/>
                              </w:rPr>
                              <w:t>点》）。</w:t>
                            </w:r>
                          </w:p>
                          <w:p>
                            <w:pPr>
                              <w:numPr>
                                <w:ilvl w:val="0"/>
                                <w:numId w:val="3"/>
                              </w:numPr>
                              <w:ind w:left="0" w:firstLine="420" w:firstLineChars="200"/>
                              <w:rPr>
                                <w:rFonts w:ascii="宋体" w:hAnsi="宋体" w:cs="宋体"/>
                                <w:u w:val="single"/>
                              </w:rPr>
                            </w:pPr>
                            <w:r>
                              <w:rPr>
                                <w:rFonts w:hint="eastAsia" w:ascii="宋体" w:hAnsi="宋体" w:cs="宋体"/>
                                <w:u w:val="single"/>
                              </w:rPr>
                              <w:t>SC或SCH或SP为精神分裂症。</w:t>
                            </w:r>
                          </w:p>
                        </w:txbxContent>
                      </wps:txbx>
                      <wps:bodyPr upright="1"/>
                    </wps:wsp>
                  </a:graphicData>
                </a:graphic>
              </wp:anchor>
            </w:drawing>
          </mc:Choice>
          <mc:Fallback>
            <w:pict>
              <v:shape id="Quad Arrow 1188" o:spid="_x0000_s1026" o:spt="202" type="#_x0000_t202" style="position:absolute;left:0pt;margin-left:5.8pt;margin-top:4.85pt;height:71.9pt;width:423.85pt;z-index:251787264;mso-width-relative:page;mso-height-relative:page;" fillcolor="#FFFFFF" filled="t" stroked="t" coordsize="21600,21600" o:gfxdata="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LxbnnX&#10;AAAACAEAAA8AAAAAAAAAAQAgAAAAIgAAAGRycy9kb3ducmV2LnhtbFBLAQIUABQAAAAIAIdO4kDn&#10;0+YS6AEAAOwDAAAOAAAAAAAAAAEAIAAAACYBAABkcnMvZTJvRG9jLnhtbFBLBQYAAAAABgAGAFkB&#10;AACABQAAAAA=&#10;">
                <v:fill on="t" focussize="0,0"/>
                <v:stroke color="#000000" joinstyle="miter"/>
                <v:imagedata o:title=""/>
                <o:lock v:ext="edit" aspectratio="f"/>
                <v:textbox>
                  <w:txbxContent>
                    <w:p>
                      <w:pPr>
                        <w:numPr>
                          <w:ilvl w:val="0"/>
                          <w:numId w:val="3"/>
                        </w:numPr>
                        <w:ind w:left="0" w:firstLine="420" w:firstLineChars="200"/>
                        <w:rPr>
                          <w:rFonts w:ascii="宋体" w:hAnsi="宋体" w:cs="宋体"/>
                        </w:rPr>
                      </w:pPr>
                      <w:r>
                        <w:rPr>
                          <w:rFonts w:hint="eastAsia" w:ascii="宋体" w:hAnsi="宋体" w:cs="宋体"/>
                        </w:rPr>
                        <w:t>没有住院，门诊看病的，需</w:t>
                      </w:r>
                      <w:r>
                        <w:rPr>
                          <w:rFonts w:hint="eastAsia" w:ascii="宋体" w:hAnsi="宋体" w:cs="宋体"/>
                          <w:color w:val="0000FF"/>
                          <w:lang w:eastAsia="zh-CN"/>
                        </w:rPr>
                        <w:t>病历</w:t>
                      </w:r>
                      <w:r>
                        <w:rPr>
                          <w:rFonts w:hint="eastAsia" w:ascii="宋体" w:hAnsi="宋体" w:cs="宋体"/>
                          <w:color w:val="0000FF"/>
                        </w:rPr>
                        <w:t>诊断明确</w:t>
                      </w:r>
                      <w:r>
                        <w:rPr>
                          <w:rFonts w:hint="eastAsia" w:ascii="宋体" w:hAnsi="宋体" w:cs="宋体"/>
                        </w:rPr>
                        <w:t>，温岭市内需温岭市精神康复医院、温岭市第一人民医院，台州市内需台州医院、台州市中心医院、台州市第二人民医院提供的</w:t>
                      </w:r>
                      <w:r>
                        <w:rPr>
                          <w:rFonts w:hint="eastAsia" w:ascii="宋体" w:hAnsi="宋体" w:cs="宋体"/>
                          <w:color w:val="0000FF"/>
                          <w:lang w:eastAsia="zh-CN"/>
                        </w:rPr>
                        <w:t>病历</w:t>
                      </w:r>
                      <w:r>
                        <w:rPr>
                          <w:rFonts w:hint="eastAsia" w:ascii="宋体" w:hAnsi="宋体" w:cs="宋体"/>
                          <w:color w:val="0000FF"/>
                        </w:rPr>
                        <w:t>诊断</w:t>
                      </w:r>
                      <w:r>
                        <w:rPr>
                          <w:rFonts w:hint="eastAsia" w:ascii="宋体" w:hAnsi="宋体" w:cs="宋体"/>
                        </w:rPr>
                        <w:t>，</w:t>
                      </w:r>
                      <w:r>
                        <w:rPr>
                          <w:rFonts w:hint="eastAsia" w:ascii="宋体" w:hAnsi="宋体" w:cs="宋体"/>
                          <w:color w:val="0000FF"/>
                          <w:lang w:eastAsia="zh-CN"/>
                        </w:rPr>
                        <w:t>或提供诊断明确的疾病诊断书（条件参考《总则第</w:t>
                      </w:r>
                      <w:r>
                        <w:rPr>
                          <w:rFonts w:hint="eastAsia" w:ascii="宋体" w:hAnsi="宋体" w:cs="宋体"/>
                          <w:color w:val="0000FF"/>
                          <w:lang w:val="en-US" w:eastAsia="zh-CN"/>
                        </w:rPr>
                        <w:t>2</w:t>
                      </w:r>
                      <w:r>
                        <w:rPr>
                          <w:rFonts w:hint="eastAsia" w:ascii="宋体" w:hAnsi="宋体" w:cs="宋体"/>
                          <w:color w:val="0000FF"/>
                          <w:lang w:eastAsia="zh-CN"/>
                        </w:rPr>
                        <w:t>点》）。</w:t>
                      </w:r>
                    </w:p>
                    <w:p>
                      <w:pPr>
                        <w:numPr>
                          <w:ilvl w:val="0"/>
                          <w:numId w:val="3"/>
                        </w:numPr>
                        <w:ind w:left="0" w:firstLine="420" w:firstLineChars="200"/>
                        <w:rPr>
                          <w:rFonts w:ascii="宋体" w:hAnsi="宋体" w:cs="宋体"/>
                          <w:u w:val="single"/>
                        </w:rPr>
                      </w:pPr>
                      <w:r>
                        <w:rPr>
                          <w:rFonts w:hint="eastAsia" w:ascii="宋体" w:hAnsi="宋体" w:cs="宋体"/>
                          <w:u w:val="single"/>
                        </w:rPr>
                        <w:t>SC或SCH或SP为精神分裂症。</w:t>
                      </w:r>
                    </w:p>
                  </w:txbxContent>
                </v:textbox>
              </v:shape>
            </w:pict>
          </mc:Fallback>
        </mc:AlternateContent>
      </w:r>
    </w:p>
    <w:p>
      <w:pPr>
        <w:tabs>
          <w:tab w:val="left" w:pos="360"/>
        </w:tabs>
        <w:ind w:left="422"/>
        <w:jc w:val="left"/>
        <w:rPr>
          <w:rFonts w:ascii="宋体" w:hAnsi="宋体" w:cs="宋体"/>
          <w:b/>
          <w:szCs w:val="21"/>
        </w:rPr>
      </w:pPr>
    </w:p>
    <w:p>
      <w:pPr>
        <w:tabs>
          <w:tab w:val="left" w:pos="360"/>
        </w:tabs>
        <w:ind w:left="422"/>
        <w:jc w:val="left"/>
        <w:rPr>
          <w:rFonts w:ascii="宋体" w:hAnsi="宋体" w:cs="宋体"/>
          <w:b/>
          <w:szCs w:val="21"/>
        </w:rPr>
      </w:pPr>
    </w:p>
    <w:p>
      <w:pPr>
        <w:tabs>
          <w:tab w:val="left" w:pos="360"/>
        </w:tabs>
        <w:ind w:left="422"/>
        <w:jc w:val="left"/>
        <w:rPr>
          <w:rFonts w:ascii="宋体" w:hAnsi="宋体" w:cs="宋体"/>
          <w:b/>
          <w:szCs w:val="21"/>
        </w:rPr>
      </w:pPr>
    </w:p>
    <w:p>
      <w:pPr>
        <w:tabs>
          <w:tab w:val="left" w:pos="360"/>
        </w:tabs>
        <w:ind w:left="422"/>
        <w:jc w:val="left"/>
        <w:rPr>
          <w:rFonts w:ascii="宋体" w:hAnsi="宋体" w:cs="宋体"/>
          <w:b/>
          <w:szCs w:val="21"/>
        </w:rPr>
      </w:pPr>
    </w:p>
    <w:p>
      <w:pPr>
        <w:tabs>
          <w:tab w:val="left" w:pos="360"/>
        </w:tabs>
        <w:jc w:val="left"/>
        <w:rPr>
          <w:rFonts w:ascii="宋体" w:hAnsi="宋体" w:cs="宋体"/>
          <w:b/>
          <w:szCs w:val="21"/>
        </w:rPr>
      </w:pPr>
    </w:p>
    <w:p>
      <w:pPr>
        <w:pStyle w:val="2"/>
        <w:rPr>
          <w:color w:val="auto"/>
        </w:rPr>
      </w:pPr>
      <w:bookmarkStart w:id="11" w:name="_Toc18419"/>
      <w:r>
        <w:rPr>
          <w:rFonts w:hint="eastAsia"/>
          <w:color w:val="auto"/>
        </w:rPr>
        <w:t>（八）血友病</w:t>
      </w:r>
      <w:bookmarkEnd w:id="11"/>
    </w:p>
    <w:p>
      <w:pPr>
        <w:ind w:firstLine="420" w:firstLineChars="200"/>
        <w:jc w:val="left"/>
        <w:rPr>
          <w:rFonts w:ascii="宋体" w:hAnsi="宋体" w:cs="宋体"/>
          <w:szCs w:val="21"/>
        </w:rPr>
      </w:pPr>
      <w:r>
        <w:rPr>
          <w:rFonts w:hint="eastAsia" w:ascii="宋体" w:hAnsi="宋体" w:cs="宋体"/>
          <w:szCs w:val="21"/>
        </w:rPr>
        <w:t>1.诊断标准：</w:t>
      </w:r>
    </w:p>
    <w:p>
      <w:pPr>
        <w:ind w:firstLine="420" w:firstLineChars="200"/>
        <w:jc w:val="left"/>
        <w:rPr>
          <w:rFonts w:ascii="宋体" w:hAnsi="宋体" w:cs="宋体"/>
          <w:szCs w:val="21"/>
        </w:rPr>
      </w:pPr>
      <w:r>
        <w:rPr>
          <w:rFonts w:hint="eastAsia" w:ascii="宋体" w:hAnsi="宋体" w:cs="宋体"/>
          <w:szCs w:val="21"/>
        </w:rPr>
        <w:t>（1）出现血液病临床症状,经</w:t>
      </w:r>
      <w:r>
        <w:rPr>
          <w:rFonts w:hint="eastAsia" w:ascii="宋体" w:hAnsi="宋体" w:cs="宋体"/>
          <w:color w:val="0000FF"/>
          <w:szCs w:val="21"/>
          <w:lang w:eastAsia="zh-CN"/>
        </w:rPr>
        <w:t>临床</w:t>
      </w:r>
      <w:r>
        <w:rPr>
          <w:rFonts w:hint="eastAsia" w:ascii="宋体" w:hAnsi="宋体" w:cs="宋体"/>
          <w:szCs w:val="21"/>
        </w:rPr>
        <w:t>确诊为血友病(必要条件)。</w:t>
      </w:r>
    </w:p>
    <w:p>
      <w:pPr>
        <w:ind w:firstLine="420" w:firstLineChars="200"/>
        <w:jc w:val="left"/>
        <w:rPr>
          <w:rFonts w:ascii="宋体" w:hAnsi="宋体" w:cs="宋体"/>
          <w:szCs w:val="21"/>
        </w:rPr>
      </w:pPr>
      <w:r>
        <w:rPr>
          <w:rFonts w:hint="eastAsia" w:ascii="宋体" w:hAnsi="宋体" w:cs="宋体"/>
          <w:szCs w:val="21"/>
        </w:rPr>
        <w:t>（2）血液学实验室检查显示凝血时间延长(参考条件)。</w:t>
      </w:r>
    </w:p>
    <w:p>
      <w:pPr>
        <w:ind w:firstLine="420" w:firstLineChars="200"/>
        <w:jc w:val="left"/>
        <w:rPr>
          <w:rFonts w:ascii="宋体" w:hAnsi="宋体" w:cs="宋体"/>
          <w:szCs w:val="21"/>
        </w:rPr>
      </w:pPr>
      <w:r>
        <w:rPr>
          <w:rFonts w:hint="eastAsia" w:ascii="宋体" w:hAnsi="宋体" w:cs="宋体"/>
          <w:szCs w:val="21"/>
        </w:rPr>
        <w:t>———准入标准:必要条件一条+参考条件一条。</w:t>
      </w:r>
    </w:p>
    <w:p>
      <w:pPr>
        <w:ind w:firstLine="420" w:firstLineChars="200"/>
        <w:jc w:val="left"/>
        <w:rPr>
          <w:rFonts w:ascii="宋体" w:hAnsi="宋体" w:cs="宋体"/>
          <w:szCs w:val="21"/>
        </w:rPr>
      </w:pPr>
      <w:r>
        <w:rPr>
          <w:rFonts w:hint="eastAsia" w:ascii="宋体" w:hAnsi="宋体" w:cs="宋体"/>
          <w:szCs w:val="21"/>
        </w:rPr>
        <w:t>2.治疗范围：</w:t>
      </w:r>
    </w:p>
    <w:p>
      <w:pPr>
        <w:ind w:firstLine="420" w:firstLineChars="200"/>
        <w:jc w:val="left"/>
        <w:rPr>
          <w:rFonts w:ascii="宋体" w:hAnsi="宋体" w:cs="宋体"/>
          <w:szCs w:val="21"/>
        </w:rPr>
      </w:pPr>
      <w:r>
        <w:rPr>
          <w:rFonts w:hint="eastAsia" w:ascii="宋体" w:hAnsi="宋体" w:cs="宋体"/>
          <w:szCs w:val="21"/>
        </w:rPr>
        <w:t>（1）局部止血疗法：纤维蛋白泡沫、明胶海绵、凝血酶、肾上腺素等。</w:t>
      </w:r>
    </w:p>
    <w:p>
      <w:pPr>
        <w:ind w:firstLine="420" w:firstLineChars="200"/>
        <w:jc w:val="left"/>
        <w:rPr>
          <w:rFonts w:ascii="宋体" w:hAnsi="宋体" w:cs="宋体"/>
          <w:szCs w:val="21"/>
        </w:rPr>
      </w:pPr>
      <w:r>
        <w:rPr>
          <w:rFonts w:hint="eastAsia" w:ascii="宋体" w:hAnsi="宋体" w:cs="宋体"/>
          <w:szCs w:val="21"/>
        </w:rPr>
        <w:t>（2）替代疗法：血浆、冷沉淀物、凝血因子Ⅷ、凝血因子Ⅸ。</w:t>
      </w:r>
    </w:p>
    <w:p>
      <w:pPr>
        <w:ind w:firstLine="420" w:firstLineChars="200"/>
        <w:jc w:val="left"/>
        <w:rPr>
          <w:rFonts w:ascii="宋体" w:hAnsi="宋体" w:cs="宋体"/>
          <w:szCs w:val="21"/>
        </w:rPr>
      </w:pPr>
      <w:r>
        <w:rPr>
          <w:rFonts w:hint="eastAsia" w:ascii="宋体" w:hAnsi="宋体" w:cs="宋体"/>
          <w:szCs w:val="21"/>
        </w:rPr>
        <w:t>（3）其他药物治疗：抑制纤维蛋白溶解药物、达那唑、肾上腺皮质激素。</w:t>
      </w:r>
    </w:p>
    <w:p>
      <w:pPr>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Ⅷ因子活性测定（次/3-6月）、Ⅸ因子活性测定（次/3-6月）、部分凝血活酶时间测定（次/3-6月）、VWS抗原测定（次/3-6月）。</w:t>
      </w:r>
    </w:p>
    <w:p>
      <w:pPr>
        <w:tabs>
          <w:tab w:val="left" w:pos="360"/>
        </w:tabs>
        <w:ind w:firstLine="420" w:firstLineChars="200"/>
        <w:jc w:val="left"/>
        <w:rPr>
          <w:rFonts w:ascii="宋体" w:hAnsi="宋体" w:cs="宋体"/>
          <w:szCs w:val="21"/>
        </w:rPr>
      </w:pPr>
    </w:p>
    <w:p>
      <w:pPr>
        <w:pStyle w:val="2"/>
        <w:rPr>
          <w:color w:val="auto"/>
        </w:rPr>
      </w:pPr>
      <w:bookmarkStart w:id="12" w:name="_Toc23299"/>
      <w:r>
        <w:rPr>
          <w:rFonts w:hint="eastAsia"/>
          <w:color w:val="auto"/>
        </w:rPr>
        <w:t>（九）糖尿病合并并发症</w:t>
      </w:r>
      <w:bookmarkEnd w:id="12"/>
    </w:p>
    <w:p>
      <w:pPr>
        <w:ind w:left="422"/>
        <w:jc w:val="left"/>
        <w:rPr>
          <w:rFonts w:ascii="宋体" w:hAnsi="宋体" w:cs="宋体"/>
          <w:szCs w:val="21"/>
        </w:rPr>
      </w:pPr>
      <w:r>
        <w:rPr>
          <w:rFonts w:hint="eastAsia" w:ascii="宋体" w:hAnsi="宋体" w:cs="宋体"/>
          <w:szCs w:val="21"/>
        </w:rPr>
        <w:t>1.诊断标准：</w:t>
      </w:r>
    </w:p>
    <w:p>
      <w:pPr>
        <w:ind w:left="422"/>
        <w:jc w:val="left"/>
        <w:rPr>
          <w:rFonts w:ascii="宋体" w:hAnsi="宋体" w:cs="宋体"/>
          <w:szCs w:val="21"/>
        </w:rPr>
      </w:pPr>
      <w:r>
        <w:rPr>
          <w:rFonts w:hint="eastAsia" w:ascii="宋体" w:hAnsi="宋体" w:cs="宋体"/>
          <w:szCs w:val="21"/>
        </w:rPr>
        <w:t>（1）临床确诊为糖尿病并发以下情况之一者(必要条件)。</w:t>
      </w:r>
    </w:p>
    <w:p>
      <w:pPr>
        <w:ind w:left="422"/>
        <w:jc w:val="left"/>
        <w:rPr>
          <w:rFonts w:ascii="宋体" w:hAnsi="宋体" w:cs="宋体"/>
          <w:szCs w:val="21"/>
        </w:rPr>
      </w:pPr>
      <w:r>
        <w:rPr>
          <w:rFonts w:hint="eastAsia" w:ascii="宋体" w:hAnsi="宋体" w:cs="宋体"/>
          <w:szCs w:val="21"/>
        </w:rPr>
        <w:t>（2）糖尿病心脏病变：出现充血性心力衰竭征象,经临床确诊为心功能Ⅲ级或Ⅳ级 ;冠脉造影、心电图或心脏超声检查显示特征性异常改变,临床确诊为心绞痛、心肌梗死(参考条件)。</w:t>
      </w:r>
    </w:p>
    <w:p>
      <w:pPr>
        <w:ind w:left="422"/>
        <w:jc w:val="left"/>
        <w:rPr>
          <w:rFonts w:ascii="宋体" w:hAnsi="宋体" w:cs="宋体"/>
          <w:szCs w:val="21"/>
        </w:rPr>
      </w:pPr>
      <w:r>
        <w:rPr>
          <w:rFonts w:hint="eastAsia" w:ascii="宋体" w:hAnsi="宋体" w:cs="宋体"/>
          <w:szCs w:val="21"/>
        </w:rPr>
        <w:t>（3）糖尿病肾脏病变:三个月内不少于三次蛋白尿和 (或)三次血肌酐检测异常,临床确诊为糖尿病肾病 (参考条件)。</w:t>
      </w:r>
    </w:p>
    <w:p>
      <w:pPr>
        <w:ind w:left="422"/>
        <w:jc w:val="left"/>
        <w:rPr>
          <w:rFonts w:ascii="宋体" w:hAnsi="宋体" w:cs="宋体"/>
          <w:szCs w:val="21"/>
        </w:rPr>
      </w:pPr>
      <w:r>
        <w:rPr>
          <w:rFonts w:hint="eastAsia" w:ascii="宋体" w:hAnsi="宋体" w:cs="宋体"/>
          <w:szCs w:val="21"/>
        </w:rPr>
        <w:t>（4）糖尿病眼底病变：眼底检查显示有渗出、出血、或新生血管;或显示晶状体浑浊、透光性差,眼底模糊;或显示新生血管性青光眼改变等,临床确诊为糖尿病眼病 (参考条件)。</w:t>
      </w:r>
    </w:p>
    <w:p>
      <w:pPr>
        <w:ind w:left="422"/>
        <w:jc w:val="left"/>
        <w:rPr>
          <w:rFonts w:ascii="宋体" w:hAnsi="宋体" w:cs="宋体"/>
          <w:szCs w:val="21"/>
        </w:rPr>
      </w:pPr>
      <w:r>
        <w:rPr>
          <w:rFonts w:hint="eastAsia" w:ascii="宋体" w:hAnsi="宋体" w:cs="宋体"/>
          <w:szCs w:val="21"/>
        </w:rPr>
        <w:t>（5）糖尿病周围神经病变：多发性周围神经病变引起功能障碍，需有电生理检查依据(参考条件)。</w:t>
      </w:r>
    </w:p>
    <w:p>
      <w:pPr>
        <w:ind w:left="422"/>
        <w:jc w:val="left"/>
        <w:rPr>
          <w:rFonts w:ascii="宋体" w:hAnsi="宋体" w:cs="宋体"/>
          <w:szCs w:val="21"/>
        </w:rPr>
      </w:pPr>
      <w:r>
        <w:rPr>
          <w:rFonts w:hint="eastAsia" w:ascii="宋体" w:hAnsi="宋体" w:cs="宋体"/>
          <w:szCs w:val="21"/>
        </w:rPr>
        <w:t>（6）合并感染：仅指合并活动性肺结核(参考条件)。</w:t>
      </w:r>
    </w:p>
    <w:p>
      <w:pPr>
        <w:ind w:left="422"/>
        <w:jc w:val="left"/>
        <w:rPr>
          <w:rFonts w:ascii="宋体" w:hAnsi="宋体" w:cs="宋体"/>
          <w:szCs w:val="21"/>
        </w:rPr>
      </w:pPr>
      <w:r>
        <w:rPr>
          <w:rFonts w:hint="eastAsia" w:ascii="宋体" w:hAnsi="宋体" w:cs="宋体"/>
          <w:szCs w:val="21"/>
        </w:rPr>
        <w:t>（7）糖尿病足：出现皮肤溃疡或肢端坏疽等表现,下肢血管影像学检查显示有相应血管改变,经临床确诊为糖尿病足 (参考条件)。</w:t>
      </w:r>
    </w:p>
    <w:p>
      <w:pPr>
        <w:ind w:left="422"/>
        <w:jc w:val="left"/>
        <w:rPr>
          <w:rFonts w:ascii="宋体" w:hAnsi="宋体" w:cs="宋体"/>
          <w:szCs w:val="21"/>
        </w:rPr>
      </w:pPr>
      <w:r>
        <w:rPr>
          <w:rFonts w:hint="eastAsia" w:ascii="宋体" w:hAnsi="宋体" w:cs="宋体"/>
          <w:szCs w:val="21"/>
        </w:rPr>
        <w:t>———准入标准:必要条件一条+参考条件一条。</w:t>
      </w:r>
    </w:p>
    <w:p>
      <w:pPr>
        <w:ind w:left="422"/>
        <w:jc w:val="left"/>
        <w:rPr>
          <w:rFonts w:ascii="宋体" w:hAnsi="宋体" w:cs="宋体"/>
          <w:szCs w:val="21"/>
        </w:rPr>
      </w:pPr>
      <w:r>
        <w:rPr>
          <w:rFonts w:hint="eastAsia" w:ascii="宋体" w:hAnsi="宋体" w:cs="宋体"/>
          <w:szCs w:val="21"/>
        </w:rPr>
        <w:t>2.治疗范围：</w:t>
      </w:r>
    </w:p>
    <w:p>
      <w:pPr>
        <w:ind w:left="422"/>
        <w:jc w:val="left"/>
        <w:rPr>
          <w:rFonts w:ascii="宋体" w:hAnsi="宋体" w:cs="宋体"/>
          <w:szCs w:val="21"/>
        </w:rPr>
      </w:pPr>
      <w:r>
        <w:rPr>
          <w:rFonts w:hint="eastAsia" w:ascii="宋体" w:hAnsi="宋体" w:cs="宋体"/>
          <w:szCs w:val="21"/>
        </w:rPr>
        <w:t>（1）口服降糖药物治疗。</w:t>
      </w:r>
    </w:p>
    <w:p>
      <w:pPr>
        <w:ind w:left="422"/>
        <w:jc w:val="left"/>
        <w:rPr>
          <w:rFonts w:ascii="宋体" w:hAnsi="宋体" w:cs="宋体"/>
          <w:szCs w:val="21"/>
        </w:rPr>
      </w:pPr>
      <w:r>
        <w:rPr>
          <w:rFonts w:hint="eastAsia" w:ascii="宋体" w:hAnsi="宋体" w:cs="宋体"/>
          <w:szCs w:val="21"/>
        </w:rPr>
        <w:t>（2）胰岛素治疗。</w:t>
      </w:r>
    </w:p>
    <w:p>
      <w:pPr>
        <w:ind w:left="422"/>
        <w:jc w:val="left"/>
        <w:rPr>
          <w:rFonts w:ascii="宋体" w:hAnsi="宋体" w:cs="宋体"/>
          <w:szCs w:val="21"/>
        </w:rPr>
      </w:pPr>
      <w:r>
        <w:rPr>
          <w:rFonts w:hint="eastAsia" w:ascii="宋体" w:hAnsi="宋体" w:cs="宋体"/>
          <w:szCs w:val="21"/>
        </w:rPr>
        <w:t>3.检验：</w:t>
      </w:r>
    </w:p>
    <w:p>
      <w:pPr>
        <w:ind w:left="422"/>
        <w:jc w:val="left"/>
        <w:rPr>
          <w:rFonts w:ascii="宋体" w:hAnsi="宋体" w:cs="宋体"/>
          <w:szCs w:val="21"/>
        </w:rPr>
      </w:pPr>
      <w:r>
        <w:rPr>
          <w:rFonts w:hint="eastAsia" w:ascii="宋体" w:hAnsi="宋体" w:cs="宋体"/>
          <w:szCs w:val="21"/>
        </w:rPr>
        <w:t>血糖（2次/月）、尿常规（次/3月）、血脂常规（次/3月）、糖化血红蛋白测定（次/3月）、血清C肽测定（次/年）。</w:t>
      </w:r>
    </w:p>
    <w:p>
      <w:pPr>
        <w:ind w:left="422"/>
        <w:jc w:val="left"/>
        <w:rPr>
          <w:rFonts w:ascii="宋体" w:hAnsi="宋体" w:cs="宋体"/>
          <w:szCs w:val="21"/>
        </w:rPr>
      </w:pPr>
      <w:r>
        <w:rPr>
          <w:rFonts w:ascii="宋体" w:hAnsi="宋体" w:eastAsia="宋体" w:cs="宋体"/>
          <w:b/>
          <w:kern w:val="2"/>
          <w:sz w:val="21"/>
          <w:szCs w:val="21"/>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15240</wp:posOffset>
                </wp:positionH>
                <wp:positionV relativeFrom="paragraph">
                  <wp:posOffset>42545</wp:posOffset>
                </wp:positionV>
                <wp:extent cx="5382895" cy="281305"/>
                <wp:effectExtent l="5080" t="5080" r="22225" b="18415"/>
                <wp:wrapNone/>
                <wp:docPr id="10" name="Quad Arrow 1189"/>
                <wp:cNvGraphicFramePr/>
                <a:graphic xmlns:a="http://schemas.openxmlformats.org/drawingml/2006/main">
                  <a:graphicData uri="http://schemas.microsoft.com/office/word/2010/wordprocessingShape">
                    <wps:wsp>
                      <wps:cNvSpPr txBox="1"/>
                      <wps:spPr>
                        <a:xfrm>
                          <a:off x="0" y="0"/>
                          <a:ext cx="5382895"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ind w:left="0" w:firstLine="420" w:firstLineChars="200"/>
                              <w:rPr>
                                <w:rFonts w:ascii="宋体" w:hAnsi="宋体" w:cs="宋体"/>
                              </w:rPr>
                            </w:pPr>
                            <w:r>
                              <w:rPr>
                                <w:rFonts w:hint="eastAsia" w:ascii="宋体" w:hAnsi="宋体" w:cs="宋体"/>
                              </w:rPr>
                              <w:t>1型糖尿病（T1DM），2型糖尿病（T2DM）。</w:t>
                            </w:r>
                          </w:p>
                          <w:p>
                            <w:pPr>
                              <w:numPr>
                                <w:ilvl w:val="0"/>
                                <w:numId w:val="0"/>
                              </w:numPr>
                              <w:rPr>
                                <w:rFonts w:ascii="宋体" w:hAnsi="宋体" w:cs="宋体"/>
                              </w:rPr>
                            </w:pPr>
                          </w:p>
                        </w:txbxContent>
                      </wps:txbx>
                      <wps:bodyPr upright="1"/>
                    </wps:wsp>
                  </a:graphicData>
                </a:graphic>
              </wp:anchor>
            </w:drawing>
          </mc:Choice>
          <mc:Fallback>
            <w:pict>
              <v:shape id="Quad Arrow 1189" o:spid="_x0000_s1026" o:spt="202" type="#_x0000_t202" style="position:absolute;left:0pt;margin-left:1.2pt;margin-top:3.35pt;height:22.15pt;width:423.85pt;z-index:251788288;mso-width-relative:page;mso-height-relative:page;" fillcolor="#FFFFFF" filled="t" stroked="t" coordsize="21600,21600" o:gfxdata="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rHGZTWAAAA&#10;BgEAAA8AAAAAAAAAAQAgAAAAIgAAAGRycy9kb3ducmV2LnhtbFBLAQIUABQAAAAIAIdO4kCSBWJQ&#10;5gEAAO0DAAAOAAAAAAAAAAEAIAAAACUBAABkcnMvZTJvRG9jLnhtbFBLBQYAAAAABgAGAFkBAAB9&#10;BQAAAAA=&#10;">
                <v:fill on="t" focussize="0,0"/>
                <v:stroke color="#000000" joinstyle="miter"/>
                <v:imagedata o:title=""/>
                <o:lock v:ext="edit" aspectratio="f"/>
                <v:textbox>
                  <w:txbxContent>
                    <w:p>
                      <w:pPr>
                        <w:numPr>
                          <w:ilvl w:val="0"/>
                          <w:numId w:val="4"/>
                        </w:numPr>
                        <w:ind w:left="0" w:firstLine="420" w:firstLineChars="200"/>
                        <w:rPr>
                          <w:rFonts w:ascii="宋体" w:hAnsi="宋体" w:cs="宋体"/>
                        </w:rPr>
                      </w:pPr>
                      <w:r>
                        <w:rPr>
                          <w:rFonts w:hint="eastAsia" w:ascii="宋体" w:hAnsi="宋体" w:cs="宋体"/>
                        </w:rPr>
                        <w:t>1型糖尿病（T1DM），2型糖尿病（T2DM）。</w:t>
                      </w:r>
                    </w:p>
                    <w:p>
                      <w:pPr>
                        <w:numPr>
                          <w:ilvl w:val="0"/>
                          <w:numId w:val="0"/>
                        </w:numPr>
                        <w:rPr>
                          <w:rFonts w:ascii="宋体" w:hAnsi="宋体" w:cs="宋体"/>
                        </w:rPr>
                      </w:pPr>
                    </w:p>
                  </w:txbxContent>
                </v:textbox>
              </v:shape>
            </w:pict>
          </mc:Fallback>
        </mc:AlternateContent>
      </w:r>
    </w:p>
    <w:p>
      <w:pPr>
        <w:tabs>
          <w:tab w:val="left" w:pos="360"/>
        </w:tabs>
        <w:jc w:val="left"/>
        <w:rPr>
          <w:rFonts w:ascii="宋体" w:hAnsi="宋体" w:cs="宋体"/>
          <w:b/>
          <w:szCs w:val="21"/>
        </w:rPr>
      </w:pPr>
    </w:p>
    <w:p>
      <w:pPr>
        <w:tabs>
          <w:tab w:val="left" w:pos="360"/>
        </w:tabs>
        <w:jc w:val="left"/>
        <w:rPr>
          <w:rFonts w:ascii="宋体" w:hAnsi="宋体" w:cs="宋体"/>
          <w:b/>
          <w:szCs w:val="21"/>
        </w:rPr>
      </w:pPr>
    </w:p>
    <w:p>
      <w:pPr>
        <w:pStyle w:val="2"/>
        <w:rPr>
          <w:color w:val="auto"/>
        </w:rPr>
      </w:pPr>
      <w:bookmarkStart w:id="13" w:name="_Toc18493"/>
      <w:r>
        <w:rPr>
          <w:rFonts w:hint="eastAsia"/>
          <w:color w:val="auto"/>
        </w:rPr>
        <w:t>（十）高血压病合并并发症</w:t>
      </w:r>
      <w:bookmarkEnd w:id="13"/>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（1）临床确诊为高血压病合并有心、脑、肾、眼底并发症之一者(必要条件)。</w:t>
      </w:r>
    </w:p>
    <w:p>
      <w:pPr>
        <w:tabs>
          <w:tab w:val="left" w:pos="360"/>
        </w:tabs>
        <w:ind w:firstLine="420" w:firstLineChars="200"/>
        <w:jc w:val="left"/>
        <w:rPr>
          <w:rFonts w:ascii="宋体" w:hAnsi="宋体" w:cs="宋体"/>
          <w:szCs w:val="21"/>
        </w:rPr>
      </w:pPr>
      <w:r>
        <w:rPr>
          <w:rFonts w:hint="eastAsia" w:ascii="宋体" w:hAnsi="宋体" w:cs="宋体"/>
          <w:szCs w:val="21"/>
        </w:rPr>
        <w:t>（2）出现充血性心力衰竭征象,经临床确诊为心功能Ⅲ级或Ⅳ级 (参考条件)。</w:t>
      </w:r>
    </w:p>
    <w:p>
      <w:pPr>
        <w:tabs>
          <w:tab w:val="left" w:pos="360"/>
        </w:tabs>
        <w:ind w:firstLine="420" w:firstLineChars="200"/>
        <w:jc w:val="left"/>
        <w:rPr>
          <w:rFonts w:ascii="宋体" w:hAnsi="宋体" w:cs="宋体"/>
          <w:szCs w:val="21"/>
        </w:rPr>
      </w:pPr>
      <w:r>
        <w:rPr>
          <w:rFonts w:hint="eastAsia" w:ascii="宋体" w:hAnsi="宋体" w:cs="宋体"/>
          <w:szCs w:val="21"/>
        </w:rPr>
        <w:t>（3）心电图、心脏超声检查或冠脉造影显示特征性异常改变,临床确诊为高血压性心脏病、心绞痛、心肌梗死(参考条件)。</w:t>
      </w:r>
    </w:p>
    <w:p>
      <w:pPr>
        <w:tabs>
          <w:tab w:val="left" w:pos="360"/>
        </w:tabs>
        <w:ind w:firstLine="420" w:firstLineChars="200"/>
        <w:jc w:val="left"/>
        <w:rPr>
          <w:rFonts w:ascii="宋体" w:hAnsi="宋体" w:cs="宋体"/>
          <w:szCs w:val="21"/>
        </w:rPr>
      </w:pPr>
      <w:r>
        <w:rPr>
          <w:rFonts w:hint="eastAsia" w:ascii="宋体" w:hAnsi="宋体" w:cs="宋体"/>
          <w:szCs w:val="21"/>
        </w:rPr>
        <w:t>（4）CT或 MRI检查显示有脑梗死、脑出血或脑栓塞特征性改变并明确诊断 (参考条件)。</w:t>
      </w:r>
    </w:p>
    <w:p>
      <w:pPr>
        <w:tabs>
          <w:tab w:val="left" w:pos="360"/>
        </w:tabs>
        <w:ind w:firstLine="420" w:firstLineChars="200"/>
        <w:jc w:val="left"/>
        <w:rPr>
          <w:rFonts w:ascii="宋体" w:hAnsi="宋体" w:cs="宋体"/>
          <w:szCs w:val="21"/>
        </w:rPr>
      </w:pPr>
      <w:r>
        <w:rPr>
          <w:rFonts w:hint="eastAsia" w:ascii="宋体" w:hAnsi="宋体" w:cs="宋体"/>
          <w:szCs w:val="21"/>
        </w:rPr>
        <w:t>（5）三个月内不少于三次蛋白尿和 (或)三次血肌酐检测异常,临床确诊为高血压肾病或尿毒症病人合并高血压，或临床确诊为肾性高血压(参考条件)。</w:t>
      </w:r>
    </w:p>
    <w:p>
      <w:pPr>
        <w:tabs>
          <w:tab w:val="left" w:pos="360"/>
        </w:tabs>
        <w:ind w:firstLine="420" w:firstLineChars="200"/>
        <w:jc w:val="left"/>
        <w:rPr>
          <w:rFonts w:ascii="宋体" w:hAnsi="宋体" w:cs="宋体"/>
          <w:szCs w:val="21"/>
        </w:rPr>
      </w:pPr>
      <w:r>
        <w:rPr>
          <w:rFonts w:hint="eastAsia" w:ascii="宋体" w:hAnsi="宋体" w:cs="宋体"/>
          <w:szCs w:val="21"/>
        </w:rPr>
        <w:t>（6）眼底检查:显示有动脉血管变细,反光增强,交叉征阳性,视网膜出血或渗出,视乳头水肿或显示青光眼改变等并明确诊断为高血压性眼底改变 (参考条件)。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———准入标准:必要条件一条+参考条件一条。</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降压药物。</w:t>
      </w:r>
    </w:p>
    <w:p>
      <w:pPr>
        <w:tabs>
          <w:tab w:val="left" w:pos="360"/>
        </w:tabs>
        <w:ind w:firstLine="420" w:firstLineChars="200"/>
        <w:jc w:val="left"/>
        <w:rPr>
          <w:rFonts w:ascii="宋体" w:hAnsi="宋体" w:cs="宋体"/>
          <w:szCs w:val="21"/>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789312" behindDoc="0" locked="0" layoutInCell="1" allowOverlap="1">
                <wp:simplePos x="0" y="0"/>
                <wp:positionH relativeFrom="column">
                  <wp:posOffset>-30480</wp:posOffset>
                </wp:positionH>
                <wp:positionV relativeFrom="paragraph">
                  <wp:posOffset>100965</wp:posOffset>
                </wp:positionV>
                <wp:extent cx="5382895" cy="1287780"/>
                <wp:effectExtent l="4445" t="4445" r="22860" b="22225"/>
                <wp:wrapNone/>
                <wp:docPr id="11" name="Quad Arrow 1190"/>
                <wp:cNvGraphicFramePr/>
                <a:graphic xmlns:a="http://schemas.openxmlformats.org/drawingml/2006/main">
                  <a:graphicData uri="http://schemas.microsoft.com/office/word/2010/wordprocessingShape">
                    <wps:wsp>
                      <wps:cNvSpPr txBox="1"/>
                      <wps:spPr>
                        <a:xfrm>
                          <a:off x="0" y="0"/>
                          <a:ext cx="5382895"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ind w:left="0" w:firstLine="420" w:firstLineChars="200"/>
                              <w:rPr>
                                <w:rFonts w:ascii="宋体" w:hAnsi="宋体" w:cs="宋体"/>
                              </w:rPr>
                            </w:pPr>
                            <w:r>
                              <w:rPr>
                                <w:rFonts w:hint="eastAsia" w:ascii="宋体" w:hAnsi="宋体" w:cs="宋体"/>
                              </w:rPr>
                              <w:t>脑栓塞不同于脑血栓，脑血栓不属审批范围。</w:t>
                            </w:r>
                          </w:p>
                          <w:p>
                            <w:pPr>
                              <w:numPr>
                                <w:ilvl w:val="0"/>
                                <w:numId w:val="5"/>
                              </w:numPr>
                              <w:ind w:left="0" w:firstLine="420" w:firstLineChars="200"/>
                              <w:rPr>
                                <w:rFonts w:ascii="宋体" w:hAnsi="宋体" w:cs="宋体"/>
                                <w:u w:val="single"/>
                              </w:rPr>
                            </w:pPr>
                            <w:r>
                              <w:rPr>
                                <w:rFonts w:hint="eastAsia" w:ascii="宋体" w:hAnsi="宋体" w:cs="宋体"/>
                                <w:u w:val="single"/>
                              </w:rPr>
                              <w:t>“双侧侧脑室缺血灶” 不属脑并发症的审批范围。</w:t>
                            </w:r>
                          </w:p>
                          <w:p>
                            <w:pPr>
                              <w:numPr>
                                <w:ilvl w:val="0"/>
                                <w:numId w:val="5"/>
                              </w:numPr>
                              <w:ind w:left="0" w:firstLine="420" w:firstLineChars="200"/>
                              <w:rPr>
                                <w:rFonts w:ascii="宋体" w:hAnsi="宋体" w:cs="宋体"/>
                                <w:u w:val="single"/>
                              </w:rPr>
                            </w:pPr>
                            <w:r>
                              <w:rPr>
                                <w:rFonts w:hint="eastAsia" w:ascii="宋体" w:hAnsi="宋体" w:cs="宋体"/>
                                <w:u w:val="single"/>
                              </w:rPr>
                              <w:t>如报告单诊断为“两侧基底节、半卵圆区缺血性改变”，疾病诊断书为“高血压合并脑梗塞”，可审批高血压合并脑梗塞。</w:t>
                            </w:r>
                          </w:p>
                          <w:p>
                            <w:pPr>
                              <w:numPr>
                                <w:ilvl w:val="0"/>
                                <w:numId w:val="5"/>
                              </w:numPr>
                              <w:ind w:left="0" w:firstLine="420" w:firstLineChars="200"/>
                              <w:rPr>
                                <w:rFonts w:ascii="宋体" w:hAnsi="宋体" w:cs="宋体"/>
                              </w:rPr>
                            </w:pPr>
                            <w:r>
                              <w:rPr>
                                <w:rFonts w:hint="eastAsia" w:ascii="宋体" w:hAnsi="宋体" w:cs="宋体"/>
                              </w:rPr>
                              <w:t>已审批尿毒症透析、慢性肾功能不全(非透析治疗)、冠心病血运重建术后的特殊门诊，不必再审批高血压病合并并发症。</w:t>
                            </w:r>
                          </w:p>
                        </w:txbxContent>
                      </wps:txbx>
                      <wps:bodyPr upright="1"/>
                    </wps:wsp>
                  </a:graphicData>
                </a:graphic>
              </wp:anchor>
            </w:drawing>
          </mc:Choice>
          <mc:Fallback>
            <w:pict>
              <v:shape id="Quad Arrow 1190" o:spid="_x0000_s1026" o:spt="202" type="#_x0000_t202" style="position:absolute;left:0pt;margin-left:-2.4pt;margin-top:7.95pt;height:101.4pt;width:423.85pt;z-index:251789312;mso-width-relative:page;mso-height-relative:page;" fillcolor="#FFFFFF" filled="t" stroked="t" coordsize="21600,21600" o:gfxdata="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VW&#10;AerZAAAACQEAAA8AAAAAAAAAAQAgAAAAIgAAAGRycy9kb3ducmV2LnhtbFBLAQIUABQAAAAIAIdO&#10;4kBxSzAJ6QEAAO4DAAAOAAAAAAAAAAEAIAAAACgBAABkcnMvZTJvRG9jLnhtbFBLBQYAAAAABgAG&#10;AFkBAACDBQAAAAA=&#10;">
                <v:fill on="t" focussize="0,0"/>
                <v:stroke color="#000000" joinstyle="miter"/>
                <v:imagedata o:title=""/>
                <o:lock v:ext="edit" aspectratio="f"/>
                <v:textbox>
                  <w:txbxContent>
                    <w:p>
                      <w:pPr>
                        <w:numPr>
                          <w:ilvl w:val="0"/>
                          <w:numId w:val="5"/>
                        </w:numPr>
                        <w:ind w:left="0" w:firstLine="420" w:firstLineChars="200"/>
                        <w:rPr>
                          <w:rFonts w:ascii="宋体" w:hAnsi="宋体" w:cs="宋体"/>
                        </w:rPr>
                      </w:pPr>
                      <w:r>
                        <w:rPr>
                          <w:rFonts w:hint="eastAsia" w:ascii="宋体" w:hAnsi="宋体" w:cs="宋体"/>
                        </w:rPr>
                        <w:t>脑栓塞不同于脑血栓，脑血栓不属审批范围。</w:t>
                      </w:r>
                    </w:p>
                    <w:p>
                      <w:pPr>
                        <w:numPr>
                          <w:ilvl w:val="0"/>
                          <w:numId w:val="5"/>
                        </w:numPr>
                        <w:ind w:left="0" w:firstLine="420" w:firstLineChars="200"/>
                        <w:rPr>
                          <w:rFonts w:ascii="宋体" w:hAnsi="宋体" w:cs="宋体"/>
                          <w:u w:val="single"/>
                        </w:rPr>
                      </w:pPr>
                      <w:r>
                        <w:rPr>
                          <w:rFonts w:hint="eastAsia" w:ascii="宋体" w:hAnsi="宋体" w:cs="宋体"/>
                          <w:u w:val="single"/>
                        </w:rPr>
                        <w:t>“双侧侧脑室缺血灶” 不属脑并发症的审批范围。</w:t>
                      </w:r>
                    </w:p>
                    <w:p>
                      <w:pPr>
                        <w:numPr>
                          <w:ilvl w:val="0"/>
                          <w:numId w:val="5"/>
                        </w:numPr>
                        <w:ind w:left="0" w:firstLine="420" w:firstLineChars="200"/>
                        <w:rPr>
                          <w:rFonts w:ascii="宋体" w:hAnsi="宋体" w:cs="宋体"/>
                          <w:u w:val="single"/>
                        </w:rPr>
                      </w:pPr>
                      <w:r>
                        <w:rPr>
                          <w:rFonts w:hint="eastAsia" w:ascii="宋体" w:hAnsi="宋体" w:cs="宋体"/>
                          <w:u w:val="single"/>
                        </w:rPr>
                        <w:t>如报告单诊断为“两侧基底节、半卵圆区缺血性改变”，疾病诊断书为“高血压合并脑梗塞”，可审批高血压合并脑梗塞。</w:t>
                      </w:r>
                    </w:p>
                    <w:p>
                      <w:pPr>
                        <w:numPr>
                          <w:ilvl w:val="0"/>
                          <w:numId w:val="5"/>
                        </w:numPr>
                        <w:ind w:left="0" w:firstLine="420" w:firstLineChars="200"/>
                        <w:rPr>
                          <w:rFonts w:ascii="宋体" w:hAnsi="宋体" w:cs="宋体"/>
                        </w:rPr>
                      </w:pPr>
                      <w:r>
                        <w:rPr>
                          <w:rFonts w:hint="eastAsia" w:ascii="宋体" w:hAnsi="宋体" w:cs="宋体"/>
                        </w:rPr>
                        <w:t>已审批尿毒症透析、慢性肾功能不全(非透析治疗)、冠心病血运重建术后的特殊门诊，不必再审批高血压病合并并发症。</w:t>
                      </w:r>
                    </w:p>
                  </w:txbxContent>
                </v:textbox>
              </v:shape>
            </w:pict>
          </mc:Fallback>
        </mc:AlternateContent>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pStyle w:val="2"/>
        <w:rPr>
          <w:color w:val="auto"/>
        </w:rPr>
      </w:pPr>
      <w:bookmarkStart w:id="14" w:name="_Toc27710"/>
      <w:r>
        <w:rPr>
          <w:rFonts w:hint="eastAsia"/>
          <w:color w:val="auto"/>
        </w:rPr>
        <w:t>（十一）慢性病毒性肝炎</w:t>
      </w:r>
      <w:bookmarkEnd w:id="14"/>
    </w:p>
    <w:p>
      <w:pPr>
        <w:tabs>
          <w:tab w:val="left" w:pos="360"/>
        </w:tabs>
        <w:ind w:left="422"/>
        <w:jc w:val="left"/>
        <w:rPr>
          <w:rFonts w:ascii="宋体" w:hAnsi="宋体" w:cs="宋体"/>
          <w:szCs w:val="21"/>
        </w:rPr>
      </w:pPr>
      <w:r>
        <w:rPr>
          <w:rFonts w:hint="eastAsia" w:ascii="宋体" w:hAnsi="宋体" w:cs="宋体"/>
          <w:szCs w:val="21"/>
        </w:rPr>
        <w:t xml:space="preserve"> 1.诊断标准：</w:t>
      </w:r>
    </w:p>
    <w:p>
      <w:pPr>
        <w:tabs>
          <w:tab w:val="left" w:pos="360"/>
        </w:tabs>
        <w:ind w:firstLine="420" w:firstLineChars="200"/>
        <w:jc w:val="left"/>
        <w:rPr>
          <w:rFonts w:ascii="宋体" w:hAnsi="宋体" w:cs="宋体"/>
          <w:szCs w:val="21"/>
        </w:rPr>
      </w:pPr>
      <w:r>
        <w:rPr>
          <w:rFonts w:hint="eastAsia" w:ascii="宋体" w:hAnsi="宋体" w:cs="宋体"/>
          <w:szCs w:val="21"/>
        </w:rPr>
        <w:t>（1）肝炎病毒标志物阳性（HBsAg、HBVDNA、HBcAg、抗HCV之一）,病程超过六个月或影像学等提示慢性肝病,经二级或二级以上医院专科明确诊断为慢性病毒性肝炎 (必要条件)。</w:t>
      </w:r>
    </w:p>
    <w:p>
      <w:pPr>
        <w:tabs>
          <w:tab w:val="left" w:pos="360"/>
        </w:tabs>
        <w:ind w:firstLine="420" w:firstLineChars="200"/>
        <w:jc w:val="left"/>
        <w:rPr>
          <w:rFonts w:ascii="宋体" w:hAnsi="宋体" w:cs="宋体"/>
          <w:szCs w:val="21"/>
        </w:rPr>
      </w:pPr>
      <w:r>
        <w:rPr>
          <w:rFonts w:hint="eastAsia" w:ascii="宋体" w:hAnsi="宋体" w:cs="宋体"/>
          <w:szCs w:val="21"/>
        </w:rPr>
        <w:t>（2）肝功能指标提示谷丙转氨酶超出正常值2倍（含）以上 (参考条件)。</w:t>
      </w:r>
    </w:p>
    <w:p>
      <w:pPr>
        <w:tabs>
          <w:tab w:val="left" w:pos="360"/>
        </w:tabs>
        <w:ind w:firstLine="420" w:firstLineChars="200"/>
        <w:jc w:val="left"/>
        <w:rPr>
          <w:rFonts w:ascii="宋体" w:hAnsi="宋体" w:cs="宋体"/>
          <w:szCs w:val="21"/>
        </w:rPr>
      </w:pPr>
      <w:r>
        <w:rPr>
          <w:rFonts w:hint="eastAsia" w:ascii="宋体" w:hAnsi="宋体" w:cs="宋体"/>
          <w:szCs w:val="21"/>
        </w:rPr>
        <w:t>（3）肝穿刺提示存在明显的肝脏炎症（2级及以上）或纤维化，特别是肝纤维化2级以上 (参考条件)。</w:t>
      </w:r>
    </w:p>
    <w:p>
      <w:pPr>
        <w:tabs>
          <w:tab w:val="left" w:pos="360"/>
        </w:tabs>
        <w:ind w:firstLine="420" w:firstLineChars="200"/>
        <w:jc w:val="left"/>
        <w:rPr>
          <w:rFonts w:ascii="宋体" w:hAnsi="宋体" w:cs="宋体"/>
          <w:szCs w:val="21"/>
        </w:rPr>
      </w:pPr>
      <w:r>
        <w:rPr>
          <w:rFonts w:hint="eastAsia" w:ascii="宋体" w:hAnsi="宋体" w:cs="宋体"/>
          <w:szCs w:val="21"/>
        </w:rPr>
        <w:t>（4）影像学、胃镜、肝穿刺等提示存在肝硬化客观依据 (参考条件)。</w:t>
      </w:r>
    </w:p>
    <w:p>
      <w:pPr>
        <w:tabs>
          <w:tab w:val="left" w:pos="360"/>
        </w:tabs>
        <w:ind w:firstLine="420" w:firstLineChars="200"/>
        <w:jc w:val="left"/>
        <w:rPr>
          <w:rFonts w:ascii="宋体" w:hAnsi="宋体" w:cs="宋体"/>
          <w:szCs w:val="21"/>
        </w:rPr>
      </w:pPr>
      <w:r>
        <w:rPr>
          <w:rFonts w:hint="eastAsia" w:ascii="宋体" w:hAnsi="宋体" w:cs="宋体"/>
          <w:szCs w:val="21"/>
        </w:rPr>
        <w:t>（5）影像学等提示存在肝细胞肝癌客观依据 (参考条件)。</w:t>
      </w:r>
    </w:p>
    <w:p>
      <w:pPr>
        <w:tabs>
          <w:tab w:val="left" w:pos="360"/>
        </w:tabs>
        <w:ind w:firstLine="420" w:firstLineChars="200"/>
        <w:jc w:val="left"/>
        <w:rPr>
          <w:rFonts w:ascii="宋体" w:hAnsi="宋体" w:cs="宋体"/>
          <w:szCs w:val="21"/>
        </w:rPr>
      </w:pPr>
      <w:r>
        <w:rPr>
          <w:rFonts w:hint="eastAsia" w:ascii="宋体" w:hAnsi="宋体" w:cs="宋体"/>
          <w:szCs w:val="21"/>
        </w:rPr>
        <w:t>（6）HCVRNA阳性 (参考条件)。</w:t>
      </w:r>
    </w:p>
    <w:p>
      <w:pPr>
        <w:tabs>
          <w:tab w:val="left" w:pos="360"/>
        </w:tabs>
        <w:ind w:firstLine="420" w:firstLineChars="200"/>
        <w:jc w:val="left"/>
        <w:rPr>
          <w:rFonts w:ascii="宋体" w:hAnsi="宋体" w:cs="宋体"/>
          <w:szCs w:val="21"/>
        </w:rPr>
      </w:pPr>
      <w:r>
        <w:rPr>
          <w:rFonts w:hint="eastAsia" w:ascii="宋体" w:hAnsi="宋体" w:cs="宋体"/>
          <w:szCs w:val="21"/>
        </w:rPr>
        <w:t>（7）合并HIV感染或接受肿瘤化疗或免疫抑制治疗，尤其是接受大剂量类固醇治疗过程中 (参考条件)。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———准入标准:必要条件一条+参考条件一条。</w:t>
      </w:r>
    </w:p>
    <w:p>
      <w:pPr>
        <w:tabs>
          <w:tab w:val="left" w:pos="360"/>
        </w:tabs>
        <w:ind w:firstLine="420" w:firstLineChars="200"/>
        <w:jc w:val="left"/>
        <w:rPr>
          <w:rFonts w:ascii="宋体" w:hAnsi="宋体" w:cs="宋体"/>
          <w:szCs w:val="21"/>
        </w:rPr>
      </w:pPr>
      <w:r>
        <w:rPr>
          <w:rFonts w:hint="eastAsia" w:ascii="宋体" w:hAnsi="宋体" w:cs="宋体"/>
          <w:szCs w:val="21"/>
        </w:rPr>
        <w:t>2.治疗范围：</w:t>
      </w:r>
    </w:p>
    <w:p>
      <w:pPr>
        <w:tabs>
          <w:tab w:val="left" w:pos="360"/>
        </w:tabs>
        <w:ind w:firstLine="420" w:firstLineChars="200"/>
        <w:jc w:val="left"/>
        <w:rPr>
          <w:rFonts w:ascii="宋体" w:hAnsi="宋体" w:cs="宋体"/>
          <w:szCs w:val="21"/>
        </w:rPr>
      </w:pPr>
      <w:r>
        <w:rPr>
          <w:rFonts w:hint="eastAsia" w:ascii="宋体" w:hAnsi="宋体" w:cs="宋体"/>
          <w:szCs w:val="21"/>
        </w:rPr>
        <w:t>（1）抗病毒治疗（核苷类逆转录酶抑制剂）。</w:t>
      </w:r>
    </w:p>
    <w:p>
      <w:pPr>
        <w:tabs>
          <w:tab w:val="left" w:pos="360"/>
        </w:tabs>
        <w:ind w:firstLine="420" w:firstLineChars="200"/>
        <w:jc w:val="left"/>
        <w:rPr>
          <w:rFonts w:ascii="宋体" w:hAnsi="宋体" w:cs="宋体"/>
          <w:szCs w:val="21"/>
        </w:rPr>
      </w:pPr>
      <w:r>
        <w:rPr>
          <w:rFonts w:hint="eastAsia" w:ascii="宋体" w:hAnsi="宋体" w:cs="宋体"/>
          <w:szCs w:val="21"/>
        </w:rPr>
        <w:t>（2）干扰素。</w:t>
      </w:r>
    </w:p>
    <w:p>
      <w:pPr>
        <w:tabs>
          <w:tab w:val="left" w:pos="360"/>
        </w:tabs>
        <w:ind w:firstLine="420" w:firstLineChars="200"/>
        <w:jc w:val="left"/>
        <w:rPr>
          <w:rFonts w:ascii="宋体" w:hAnsi="宋体" w:cs="宋体"/>
          <w:szCs w:val="21"/>
        </w:rPr>
      </w:pPr>
      <w:r>
        <w:rPr>
          <w:rFonts w:hint="eastAsia" w:ascii="宋体" w:hAnsi="宋体" w:cs="宋体"/>
          <w:szCs w:val="21"/>
        </w:rPr>
        <w:t>（3）肝病辅助治疗药物。</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血常规（次/3-6月）、肝功能（次/3-6月）、乙肝三系（定量）（次/3-6月）、甲胎蛋白（次/3-6月）、乙肝DNA（次/3-6月）、丙肝RNA（次/3-6月），肝脏B超（次/3-6月）。</w:t>
      </w:r>
    </w:p>
    <w:p>
      <w:pPr>
        <w:tabs>
          <w:tab w:val="left" w:pos="360"/>
        </w:tabs>
        <w:ind w:firstLine="420" w:firstLineChars="200"/>
        <w:jc w:val="left"/>
        <w:rPr>
          <w:rFonts w:ascii="宋体" w:hAnsi="宋体" w:cs="宋体"/>
          <w:szCs w:val="21"/>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790336" behindDoc="0" locked="0" layoutInCell="1" allowOverlap="1">
                <wp:simplePos x="0" y="0"/>
                <wp:positionH relativeFrom="column">
                  <wp:posOffset>-11430</wp:posOffset>
                </wp:positionH>
                <wp:positionV relativeFrom="paragraph">
                  <wp:posOffset>10160</wp:posOffset>
                </wp:positionV>
                <wp:extent cx="5382895" cy="2711450"/>
                <wp:effectExtent l="4445" t="4445" r="22860" b="8255"/>
                <wp:wrapNone/>
                <wp:docPr id="12" name="Quad Arrow 1191"/>
                <wp:cNvGraphicFramePr/>
                <a:graphic xmlns:a="http://schemas.openxmlformats.org/drawingml/2006/main">
                  <a:graphicData uri="http://schemas.microsoft.com/office/word/2010/wordprocessingShape">
                    <wps:wsp>
                      <wps:cNvSpPr txBox="1"/>
                      <wps:spPr>
                        <a:xfrm>
                          <a:off x="0" y="0"/>
                          <a:ext cx="5382895" cy="2711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ind w:left="0" w:firstLine="420" w:firstLineChars="200"/>
                              <w:rPr>
                                <w:rFonts w:ascii="宋体" w:hAnsi="宋体" w:cs="宋体"/>
                                <w:u w:val="single"/>
                              </w:rPr>
                            </w:pPr>
                            <w:r>
                              <w:rPr>
                                <w:rFonts w:hint="eastAsia" w:ascii="宋体" w:hAnsi="宋体" w:cs="宋体"/>
                                <w:u w:val="single"/>
                              </w:rPr>
                              <w:t>肝炎病毒标志物：</w:t>
                            </w:r>
                          </w:p>
                          <w:p>
                            <w:pPr>
                              <w:ind w:firstLine="420" w:firstLineChars="200"/>
                              <w:rPr>
                                <w:rFonts w:ascii="宋体" w:hAnsi="宋体" w:cs="宋体"/>
                                <w:u w:val="single"/>
                              </w:rPr>
                            </w:pPr>
                            <w:r>
                              <w:rPr>
                                <w:rFonts w:hint="eastAsia" w:ascii="宋体" w:hAnsi="宋体" w:cs="宋体"/>
                                <w:u w:val="single"/>
                              </w:rPr>
                              <w:t>HBsAg：乙肝表面抗原。</w:t>
                            </w:r>
                          </w:p>
                          <w:p>
                            <w:pPr>
                              <w:ind w:firstLine="420" w:firstLineChars="200"/>
                              <w:rPr>
                                <w:rFonts w:ascii="宋体" w:hAnsi="宋体" w:cs="宋体"/>
                                <w:u w:val="single"/>
                              </w:rPr>
                            </w:pPr>
                            <w:r>
                              <w:rPr>
                                <w:rFonts w:hint="eastAsia" w:ascii="宋体" w:hAnsi="宋体" w:cs="宋体"/>
                                <w:u w:val="single"/>
                              </w:rPr>
                              <w:t>HBV-DNA：乙肝病毒的脱氧核糖核酸（即乙肝病毒基因）。</w:t>
                            </w:r>
                          </w:p>
                          <w:p>
                            <w:pPr>
                              <w:ind w:firstLine="420" w:firstLineChars="200"/>
                              <w:rPr>
                                <w:rFonts w:ascii="宋体" w:hAnsi="宋体" w:cs="宋体"/>
                                <w:u w:val="single"/>
                              </w:rPr>
                            </w:pPr>
                            <w:r>
                              <w:rPr>
                                <w:rFonts w:hint="eastAsia" w:ascii="宋体" w:hAnsi="宋体" w:cs="宋体"/>
                                <w:u w:val="single"/>
                              </w:rPr>
                              <w:t>HBcAg：乙肝核心抗原。</w:t>
                            </w:r>
                          </w:p>
                          <w:p>
                            <w:pPr>
                              <w:ind w:firstLine="420" w:firstLineChars="200"/>
                              <w:rPr>
                                <w:rFonts w:hint="eastAsia" w:ascii="宋体" w:hAnsi="宋体" w:cs="宋体"/>
                                <w:u w:val="single"/>
                              </w:rPr>
                            </w:pPr>
                            <w:r>
                              <w:rPr>
                                <w:rFonts w:hint="eastAsia" w:ascii="宋体" w:hAnsi="宋体" w:cs="宋体"/>
                                <w:u w:val="single"/>
                              </w:rPr>
                              <w:t>抗-HCV：丙型肝炎病毒抗体。丙型肝炎病毒简称为HCV。</w:t>
                            </w:r>
                          </w:p>
                          <w:p>
                            <w:pPr>
                              <w:ind w:firstLine="420" w:firstLineChars="200"/>
                              <w:rPr>
                                <w:rFonts w:hint="eastAsia" w:ascii="宋体" w:hAnsi="宋体" w:eastAsia="宋体" w:cs="宋体"/>
                                <w:color w:val="0000FF"/>
                                <w:u w:val="none"/>
                                <w:lang w:val="en-US" w:eastAsia="zh-CN"/>
                              </w:rPr>
                            </w:pPr>
                            <w:r>
                              <w:rPr>
                                <w:rFonts w:hint="eastAsia" w:ascii="宋体" w:hAnsi="宋体" w:cs="宋体"/>
                                <w:color w:val="0000FF"/>
                                <w:u w:val="none"/>
                                <w:lang w:val="en-US" w:eastAsia="zh-CN"/>
                              </w:rPr>
                              <w:t>3.  HCVRNA：丙型肝炎病毒核糖核酸（定量），有（PCR）荧光定量法。</w:t>
                            </w:r>
                          </w:p>
                          <w:p>
                            <w:pPr>
                              <w:numPr>
                                <w:ilvl w:val="0"/>
                                <w:numId w:val="6"/>
                              </w:numPr>
                              <w:ind w:left="0" w:firstLine="420" w:firstLineChars="200"/>
                              <w:rPr>
                                <w:rFonts w:ascii="宋体" w:hAnsi="宋体" w:cs="宋体"/>
                              </w:rPr>
                            </w:pPr>
                            <w:r>
                              <w:rPr>
                                <w:rFonts w:hint="eastAsia" w:ascii="宋体" w:hAnsi="宋体" w:cs="宋体"/>
                              </w:rPr>
                              <w:t>审批慢性病毒性肝炎，若疾病诊断书、出院小结或病历没写“慢性”，需要病程超六个月或者B超CT等影像学提示慢性肝病来确定其慢性。若无影像学提示，</w:t>
                            </w:r>
                            <w:r>
                              <w:rPr>
                                <w:rFonts w:hint="eastAsia" w:ascii="宋体" w:hAnsi="宋体" w:cs="宋体"/>
                                <w:color w:val="0000FF"/>
                              </w:rPr>
                              <w:t>可依据以</w:t>
                            </w:r>
                            <w:r>
                              <w:rPr>
                                <w:rFonts w:hint="eastAsia" w:ascii="宋体" w:hAnsi="宋体" w:cs="宋体"/>
                                <w:color w:val="0000FF"/>
                                <w:lang w:eastAsia="zh-CN"/>
                              </w:rPr>
                              <w:t>病毒标志物阳性的化验单，化验时间超六个月。</w:t>
                            </w:r>
                          </w:p>
                          <w:p>
                            <w:pPr>
                              <w:numPr>
                                <w:ilvl w:val="0"/>
                                <w:numId w:val="6"/>
                              </w:numPr>
                              <w:ind w:left="0" w:firstLine="420" w:firstLineChars="200"/>
                              <w:rPr>
                                <w:rFonts w:ascii="宋体" w:hAnsi="宋体" w:cs="宋体"/>
                              </w:rPr>
                            </w:pPr>
                            <w:r>
                              <w:rPr>
                                <w:rFonts w:hint="eastAsia" w:ascii="宋体" w:hAnsi="宋体" w:cs="宋体"/>
                              </w:rPr>
                              <w:t>在系统的“诊断意见”处须写明“乙肝”还是“丙肝”。</w:t>
                            </w:r>
                          </w:p>
                          <w:p>
                            <w:pPr>
                              <w:numPr>
                                <w:ilvl w:val="0"/>
                                <w:numId w:val="6"/>
                              </w:numPr>
                              <w:ind w:left="0" w:firstLine="420" w:firstLineChars="200"/>
                              <w:rPr>
                                <w:rFonts w:ascii="宋体" w:hAnsi="宋体" w:cs="宋体"/>
                              </w:rPr>
                            </w:pPr>
                            <w:r>
                              <w:rPr>
                                <w:rFonts w:hint="eastAsia" w:ascii="宋体" w:hAnsi="宋体" w:cs="宋体"/>
                              </w:rPr>
                              <w:t>谷丙转氨酶，又名谷氨酸转氨酶 、丙氨酸氨基转移酶、谷氨酸-丙酮酸转氨酶，简称GPT、ALT。</w:t>
                            </w:r>
                          </w:p>
                          <w:p>
                            <w:pPr>
                              <w:numPr>
                                <w:ilvl w:val="0"/>
                                <w:numId w:val="6"/>
                              </w:numPr>
                              <w:ind w:left="0" w:firstLine="420" w:firstLineChars="200"/>
                              <w:rPr>
                                <w:rFonts w:ascii="宋体" w:hAnsi="宋体" w:cs="宋体"/>
                                <w:color w:val="0000FF"/>
                              </w:rPr>
                            </w:pPr>
                            <w:r>
                              <w:rPr>
                                <w:rFonts w:hint="eastAsia" w:ascii="宋体" w:hAnsi="宋体" w:cs="宋体"/>
                              </w:rPr>
                              <w:t>慢性乙肝，英文缩写：CHB。</w:t>
                            </w:r>
                          </w:p>
                        </w:txbxContent>
                      </wps:txbx>
                      <wps:bodyPr upright="1"/>
                    </wps:wsp>
                  </a:graphicData>
                </a:graphic>
              </wp:anchor>
            </w:drawing>
          </mc:Choice>
          <mc:Fallback>
            <w:pict>
              <v:shape id="Quad Arrow 1191" o:spid="_x0000_s1026" o:spt="202" type="#_x0000_t202" style="position:absolute;left:0pt;margin-left:-0.9pt;margin-top:0.8pt;height:213.5pt;width:423.85pt;z-index:251790336;mso-width-relative:page;mso-height-relative:page;" fillcolor="#FFFFFF" filled="t" stroked="t" coordsize="21600,21600" o:gfxdata="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WrH&#10;vdgAAAAIAQAADwAAAAAAAAABACAAAAAiAAAAZHJzL2Rvd25yZXYueG1sUEsBAhQAFAAAAAgAh07i&#10;QPJeqvXpAQAA7gMAAA4AAAAAAAAAAQAgAAAAJwEAAGRycy9lMm9Eb2MueG1sUEsFBgAAAAAGAAYA&#10;WQEAAIIFAAAAAA==&#10;">
                <v:fill on="t" focussize="0,0"/>
                <v:stroke color="#000000" joinstyle="miter"/>
                <v:imagedata o:title=""/>
                <o:lock v:ext="edit" aspectratio="f"/>
                <v:textbox>
                  <w:txbxContent>
                    <w:p>
                      <w:pPr>
                        <w:numPr>
                          <w:ilvl w:val="0"/>
                          <w:numId w:val="6"/>
                        </w:numPr>
                        <w:ind w:left="0" w:firstLine="420" w:firstLineChars="200"/>
                        <w:rPr>
                          <w:rFonts w:ascii="宋体" w:hAnsi="宋体" w:cs="宋体"/>
                          <w:u w:val="single"/>
                        </w:rPr>
                      </w:pPr>
                      <w:r>
                        <w:rPr>
                          <w:rFonts w:hint="eastAsia" w:ascii="宋体" w:hAnsi="宋体" w:cs="宋体"/>
                          <w:u w:val="single"/>
                        </w:rPr>
                        <w:t>肝炎病毒标志物：</w:t>
                      </w:r>
                    </w:p>
                    <w:p>
                      <w:pPr>
                        <w:ind w:firstLine="420" w:firstLineChars="200"/>
                        <w:rPr>
                          <w:rFonts w:ascii="宋体" w:hAnsi="宋体" w:cs="宋体"/>
                          <w:u w:val="single"/>
                        </w:rPr>
                      </w:pPr>
                      <w:r>
                        <w:rPr>
                          <w:rFonts w:hint="eastAsia" w:ascii="宋体" w:hAnsi="宋体" w:cs="宋体"/>
                          <w:u w:val="single"/>
                        </w:rPr>
                        <w:t>HBsAg：乙肝表面抗原。</w:t>
                      </w:r>
                    </w:p>
                    <w:p>
                      <w:pPr>
                        <w:ind w:firstLine="420" w:firstLineChars="200"/>
                        <w:rPr>
                          <w:rFonts w:ascii="宋体" w:hAnsi="宋体" w:cs="宋体"/>
                          <w:u w:val="single"/>
                        </w:rPr>
                      </w:pPr>
                      <w:r>
                        <w:rPr>
                          <w:rFonts w:hint="eastAsia" w:ascii="宋体" w:hAnsi="宋体" w:cs="宋体"/>
                          <w:u w:val="single"/>
                        </w:rPr>
                        <w:t>HBV-DNA：乙肝病毒的脱氧核糖核酸（即乙肝病毒基因）。</w:t>
                      </w:r>
                    </w:p>
                    <w:p>
                      <w:pPr>
                        <w:ind w:firstLine="420" w:firstLineChars="200"/>
                        <w:rPr>
                          <w:rFonts w:ascii="宋体" w:hAnsi="宋体" w:cs="宋体"/>
                          <w:u w:val="single"/>
                        </w:rPr>
                      </w:pPr>
                      <w:r>
                        <w:rPr>
                          <w:rFonts w:hint="eastAsia" w:ascii="宋体" w:hAnsi="宋体" w:cs="宋体"/>
                          <w:u w:val="single"/>
                        </w:rPr>
                        <w:t>HBcAg：乙肝核心抗原。</w:t>
                      </w:r>
                    </w:p>
                    <w:p>
                      <w:pPr>
                        <w:ind w:firstLine="420" w:firstLineChars="200"/>
                        <w:rPr>
                          <w:rFonts w:hint="eastAsia" w:ascii="宋体" w:hAnsi="宋体" w:cs="宋体"/>
                          <w:u w:val="single"/>
                        </w:rPr>
                      </w:pPr>
                      <w:r>
                        <w:rPr>
                          <w:rFonts w:hint="eastAsia" w:ascii="宋体" w:hAnsi="宋体" w:cs="宋体"/>
                          <w:u w:val="single"/>
                        </w:rPr>
                        <w:t>抗-HCV：丙型肝炎病毒抗体。丙型肝炎病毒简称为HCV。</w:t>
                      </w:r>
                    </w:p>
                    <w:p>
                      <w:pPr>
                        <w:ind w:firstLine="420" w:firstLineChars="200"/>
                        <w:rPr>
                          <w:rFonts w:hint="eastAsia" w:ascii="宋体" w:hAnsi="宋体" w:eastAsia="宋体" w:cs="宋体"/>
                          <w:color w:val="0000FF"/>
                          <w:u w:val="none"/>
                          <w:lang w:val="en-US" w:eastAsia="zh-CN"/>
                        </w:rPr>
                      </w:pPr>
                      <w:r>
                        <w:rPr>
                          <w:rFonts w:hint="eastAsia" w:ascii="宋体" w:hAnsi="宋体" w:cs="宋体"/>
                          <w:color w:val="0000FF"/>
                          <w:u w:val="none"/>
                          <w:lang w:val="en-US" w:eastAsia="zh-CN"/>
                        </w:rPr>
                        <w:t>3.  HCVRNA：丙型肝炎病毒核糖核酸（定量），有（PCR）荧光定量法。</w:t>
                      </w:r>
                    </w:p>
                    <w:p>
                      <w:pPr>
                        <w:numPr>
                          <w:ilvl w:val="0"/>
                          <w:numId w:val="6"/>
                        </w:numPr>
                        <w:ind w:left="0" w:firstLine="420" w:firstLineChars="200"/>
                        <w:rPr>
                          <w:rFonts w:ascii="宋体" w:hAnsi="宋体" w:cs="宋体"/>
                        </w:rPr>
                      </w:pPr>
                      <w:r>
                        <w:rPr>
                          <w:rFonts w:hint="eastAsia" w:ascii="宋体" w:hAnsi="宋体" w:cs="宋体"/>
                        </w:rPr>
                        <w:t>审批慢性病毒性肝炎，若疾病诊断书、出院小结或病历没写“慢性”，需要病程超六个月或者B超CT等影像学提示慢性肝病来确定其慢性。若无影像学提示，</w:t>
                      </w:r>
                      <w:r>
                        <w:rPr>
                          <w:rFonts w:hint="eastAsia" w:ascii="宋体" w:hAnsi="宋体" w:cs="宋体"/>
                          <w:color w:val="0000FF"/>
                        </w:rPr>
                        <w:t>可依据以</w:t>
                      </w:r>
                      <w:r>
                        <w:rPr>
                          <w:rFonts w:hint="eastAsia" w:ascii="宋体" w:hAnsi="宋体" w:cs="宋体"/>
                          <w:color w:val="0000FF"/>
                          <w:lang w:eastAsia="zh-CN"/>
                        </w:rPr>
                        <w:t>病毒标志物阳性的化验单，化验时间超六个月。</w:t>
                      </w:r>
                    </w:p>
                    <w:p>
                      <w:pPr>
                        <w:numPr>
                          <w:ilvl w:val="0"/>
                          <w:numId w:val="6"/>
                        </w:numPr>
                        <w:ind w:left="0" w:firstLine="420" w:firstLineChars="200"/>
                        <w:rPr>
                          <w:rFonts w:ascii="宋体" w:hAnsi="宋体" w:cs="宋体"/>
                        </w:rPr>
                      </w:pPr>
                      <w:r>
                        <w:rPr>
                          <w:rFonts w:hint="eastAsia" w:ascii="宋体" w:hAnsi="宋体" w:cs="宋体"/>
                        </w:rPr>
                        <w:t>在系统的“诊断意见”处须写明“乙肝”还是“丙肝”。</w:t>
                      </w:r>
                    </w:p>
                    <w:p>
                      <w:pPr>
                        <w:numPr>
                          <w:ilvl w:val="0"/>
                          <w:numId w:val="6"/>
                        </w:numPr>
                        <w:ind w:left="0" w:firstLine="420" w:firstLineChars="200"/>
                        <w:rPr>
                          <w:rFonts w:ascii="宋体" w:hAnsi="宋体" w:cs="宋体"/>
                        </w:rPr>
                      </w:pPr>
                      <w:r>
                        <w:rPr>
                          <w:rFonts w:hint="eastAsia" w:ascii="宋体" w:hAnsi="宋体" w:cs="宋体"/>
                        </w:rPr>
                        <w:t>谷丙转氨酶，又名谷氨酸转氨酶 、丙氨酸氨基转移酶、谷氨酸-丙酮酸转氨酶，简称GPT、ALT。</w:t>
                      </w:r>
                    </w:p>
                    <w:p>
                      <w:pPr>
                        <w:numPr>
                          <w:ilvl w:val="0"/>
                          <w:numId w:val="6"/>
                        </w:numPr>
                        <w:ind w:left="0" w:firstLine="420" w:firstLineChars="200"/>
                        <w:rPr>
                          <w:rFonts w:ascii="宋体" w:hAnsi="宋体" w:cs="宋体"/>
                          <w:color w:val="0000FF"/>
                        </w:rPr>
                      </w:pPr>
                      <w:r>
                        <w:rPr>
                          <w:rFonts w:hint="eastAsia" w:ascii="宋体" w:hAnsi="宋体" w:cs="宋体"/>
                        </w:rPr>
                        <w:t>慢性乙肝，英文缩写：CHB。</w:t>
                      </w:r>
                    </w:p>
                  </w:txbxContent>
                </v:textbox>
              </v:shape>
            </w:pict>
          </mc:Fallback>
        </mc:AlternateContent>
      </w: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ind w:firstLine="420" w:firstLineChars="200"/>
        <w:jc w:val="left"/>
        <w:rPr>
          <w:rFonts w:ascii="宋体" w:hAnsi="宋体" w:cs="宋体"/>
          <w:szCs w:val="21"/>
        </w:rPr>
      </w:pPr>
    </w:p>
    <w:p>
      <w:pPr>
        <w:tabs>
          <w:tab w:val="left" w:pos="360"/>
        </w:tabs>
        <w:jc w:val="left"/>
        <w:rPr>
          <w:rFonts w:hint="eastAsia" w:ascii="宋体" w:hAnsi="宋体" w:eastAsia="宋体" w:cs="宋体"/>
          <w:color w:val="0000FF"/>
          <w:szCs w:val="21"/>
          <w:lang w:eastAsia="zh-CN"/>
        </w:rPr>
      </w:pPr>
      <w:r>
        <w:rPr>
          <w:rFonts w:hint="eastAsia" w:ascii="宋体" w:hAnsi="宋体" w:eastAsia="宋体" w:cs="宋体"/>
          <w:color w:val="0000FF"/>
          <w:szCs w:val="21"/>
          <w:lang w:eastAsia="zh-CN"/>
        </w:rPr>
        <w:t>◎</w:t>
      </w:r>
      <w:r>
        <w:rPr>
          <w:rFonts w:hint="eastAsia" w:ascii="宋体" w:hAnsi="宋体" w:cs="宋体"/>
          <w:color w:val="0000FF"/>
          <w:szCs w:val="21"/>
          <w:lang w:eastAsia="zh-CN"/>
        </w:rPr>
        <w:t>下图都属于病毒标志物的化验单，显示阳性超标。</w:t>
      </w:r>
    </w:p>
    <w:p>
      <w:pPr>
        <w:tabs>
          <w:tab w:val="left" w:pos="360"/>
        </w:tabs>
        <w:jc w:val="left"/>
        <w:rPr>
          <w:rFonts w:ascii="宋体" w:hAnsi="宋体" w:cs="宋体"/>
          <w:szCs w:val="21"/>
        </w:rPr>
      </w:pPr>
      <w:r>
        <w:rPr>
          <w:rFonts w:ascii="宋体" w:hAnsi="宋体" w:eastAsia="宋体" w:cs="宋体"/>
          <w:kern w:val="2"/>
          <w:sz w:val="21"/>
          <w:szCs w:val="22"/>
          <w:lang w:val="en-US" w:eastAsia="zh-CN" w:bidi="ar-SA"/>
        </w:rPr>
        <w:drawing>
          <wp:anchor distT="0" distB="0" distL="114300" distR="114300" simplePos="0" relativeHeight="251791360" behindDoc="0" locked="0" layoutInCell="1" allowOverlap="1">
            <wp:simplePos x="0" y="0"/>
            <wp:positionH relativeFrom="column">
              <wp:posOffset>-97790</wp:posOffset>
            </wp:positionH>
            <wp:positionV relativeFrom="paragraph">
              <wp:posOffset>99060</wp:posOffset>
            </wp:positionV>
            <wp:extent cx="5486400" cy="1590040"/>
            <wp:effectExtent l="0" t="0" r="0" b="1016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7">
                      <a:lum/>
                    </a:blip>
                    <a:stretch>
                      <a:fillRect/>
                    </a:stretch>
                  </pic:blipFill>
                  <pic:spPr>
                    <a:xfrm>
                      <a:off x="0" y="0"/>
                      <a:ext cx="5486400" cy="1590040"/>
                    </a:xfrm>
                    <a:prstGeom prst="rect">
                      <a:avLst/>
                    </a:prstGeom>
                    <a:noFill/>
                    <a:ln w="9525">
                      <a:noFill/>
                    </a:ln>
                  </pic:spPr>
                </pic:pic>
              </a:graphicData>
            </a:graphic>
          </wp:anchor>
        </w:drawing>
      </w:r>
    </w:p>
    <w:p>
      <w:pPr>
        <w:tabs>
          <w:tab w:val="left" w:pos="360"/>
        </w:tabs>
        <w:jc w:val="left"/>
        <w:rPr>
          <w:rFonts w:ascii="宋体" w:hAnsi="宋体" w:cs="宋体"/>
          <w:szCs w:val="21"/>
        </w:rPr>
      </w:pPr>
      <w:r>
        <w:rPr>
          <w:rFonts w:hint="eastAsia" w:ascii="宋体" w:hAnsi="宋体" w:eastAsia="宋体" w:cs="宋体"/>
          <w:color w:val="0000FF"/>
          <w:szCs w:val="21"/>
          <w:lang w:eastAsia="zh-CN"/>
        </w:rPr>
        <w:t>◎</w:t>
      </w:r>
      <w:r>
        <w:rPr>
          <w:rFonts w:hint="eastAsia" w:ascii="宋体" w:hAnsi="宋体" w:cs="宋体"/>
          <w:color w:val="0000FF"/>
          <w:szCs w:val="21"/>
          <w:lang w:eastAsia="zh-CN"/>
        </w:rPr>
        <w:t>下图</w:t>
      </w:r>
      <w:r>
        <w:rPr>
          <w:rFonts w:ascii="宋体" w:hAnsi="宋体" w:eastAsia="宋体" w:cs="宋体"/>
          <w:kern w:val="2"/>
          <w:sz w:val="21"/>
          <w:szCs w:val="22"/>
          <w:lang w:val="en-US" w:eastAsia="zh-CN" w:bidi="ar-SA"/>
        </w:rPr>
        <w:drawing>
          <wp:anchor distT="0" distB="0" distL="114300" distR="114300" simplePos="0" relativeHeight="251792384" behindDoc="0" locked="0" layoutInCell="1" allowOverlap="1">
            <wp:simplePos x="0" y="0"/>
            <wp:positionH relativeFrom="column">
              <wp:posOffset>-107315</wp:posOffset>
            </wp:positionH>
            <wp:positionV relativeFrom="paragraph">
              <wp:posOffset>186055</wp:posOffset>
            </wp:positionV>
            <wp:extent cx="5486400" cy="1997075"/>
            <wp:effectExtent l="0" t="0" r="0" b="3175"/>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8">
                      <a:lum/>
                    </a:blip>
                    <a:stretch>
                      <a:fillRect/>
                    </a:stretch>
                  </pic:blipFill>
                  <pic:spPr>
                    <a:xfrm>
                      <a:off x="0" y="0"/>
                      <a:ext cx="5486400" cy="1997075"/>
                    </a:xfrm>
                    <a:prstGeom prst="rect">
                      <a:avLst/>
                    </a:prstGeom>
                    <a:noFill/>
                    <a:ln w="9525">
                      <a:noFill/>
                    </a:ln>
                  </pic:spPr>
                </pic:pic>
              </a:graphicData>
            </a:graphic>
          </wp:anchor>
        </w:drawing>
      </w:r>
      <w:r>
        <w:rPr>
          <w:rFonts w:hint="eastAsia" w:ascii="宋体" w:hAnsi="宋体" w:cs="宋体"/>
          <w:color w:val="0000FF"/>
          <w:szCs w:val="21"/>
          <w:lang w:eastAsia="zh-CN"/>
        </w:rPr>
        <w:t>为肝炎分级。分期标准。</w:t>
      </w:r>
    </w:p>
    <w:p>
      <w:pPr>
        <w:tabs>
          <w:tab w:val="left" w:pos="360"/>
        </w:tabs>
        <w:jc w:val="left"/>
        <w:rPr>
          <w:rFonts w:ascii="宋体" w:hAnsi="宋体" w:cs="宋体"/>
          <w:szCs w:val="21"/>
        </w:rPr>
      </w:pPr>
      <w:r>
        <w:rPr>
          <w:rFonts w:ascii="宋体" w:hAnsi="宋体" w:eastAsia="宋体" w:cs="宋体"/>
          <w:kern w:val="2"/>
          <w:sz w:val="21"/>
          <w:szCs w:val="22"/>
          <w:lang w:val="en-US" w:eastAsia="zh-CN" w:bidi="ar-SA"/>
        </w:rPr>
        <w:drawing>
          <wp:anchor distT="0" distB="0" distL="114300" distR="114300" simplePos="0" relativeHeight="251837440" behindDoc="0" locked="0" layoutInCell="1" allowOverlap="1">
            <wp:simplePos x="0" y="0"/>
            <wp:positionH relativeFrom="column">
              <wp:posOffset>-60960</wp:posOffset>
            </wp:positionH>
            <wp:positionV relativeFrom="paragraph">
              <wp:posOffset>180975</wp:posOffset>
            </wp:positionV>
            <wp:extent cx="5309235" cy="3946525"/>
            <wp:effectExtent l="0" t="0" r="5715" b="15875"/>
            <wp:wrapSquare wrapText="bothSides"/>
            <wp:docPr id="15"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94"/>
                    <pic:cNvPicPr>
                      <a:picLocks noChangeAspect="1"/>
                    </pic:cNvPicPr>
                  </pic:nvPicPr>
                  <pic:blipFill>
                    <a:blip r:embed="rId9">
                      <a:lum/>
                    </a:blip>
                    <a:stretch>
                      <a:fillRect/>
                    </a:stretch>
                  </pic:blipFill>
                  <pic:spPr>
                    <a:xfrm>
                      <a:off x="0" y="0"/>
                      <a:ext cx="5309235" cy="3946525"/>
                    </a:xfrm>
                    <a:prstGeom prst="rect">
                      <a:avLst/>
                    </a:prstGeom>
                    <a:noFill/>
                    <a:ln w="9525">
                      <a:noFill/>
                    </a:ln>
                  </pic:spPr>
                </pic:pic>
              </a:graphicData>
            </a:graphic>
          </wp:anchor>
        </w:drawing>
      </w:r>
    </w:p>
    <w:p>
      <w:pPr>
        <w:pStyle w:val="2"/>
        <w:rPr>
          <w:color w:val="auto"/>
        </w:rPr>
      </w:pPr>
      <w:bookmarkStart w:id="15" w:name="_Toc24671"/>
      <w:r>
        <w:rPr>
          <w:rFonts w:hint="eastAsia"/>
          <w:color w:val="auto"/>
        </w:rPr>
        <w:t>（十二）帕金森病</w:t>
      </w:r>
      <w:bookmarkEnd w:id="15"/>
    </w:p>
    <w:p>
      <w:pPr>
        <w:tabs>
          <w:tab w:val="left" w:pos="360"/>
        </w:tabs>
        <w:ind w:left="420"/>
        <w:jc w:val="left"/>
        <w:rPr>
          <w:rFonts w:ascii="宋体" w:hAnsi="宋体" w:cs="宋体"/>
          <w:szCs w:val="21"/>
        </w:rPr>
      </w:pPr>
      <w:r>
        <w:rPr>
          <w:rFonts w:hint="eastAsia" w:ascii="宋体" w:hAnsi="宋体" w:cs="宋体"/>
          <w:szCs w:val="21"/>
        </w:rPr>
        <w:t>1.诊断标准：</w:t>
      </w:r>
    </w:p>
    <w:p>
      <w:pPr>
        <w:tabs>
          <w:tab w:val="left" w:pos="360"/>
        </w:tabs>
        <w:ind w:left="420"/>
        <w:jc w:val="left"/>
        <w:rPr>
          <w:rFonts w:ascii="宋体" w:hAnsi="宋体" w:cs="宋体"/>
          <w:szCs w:val="21"/>
        </w:rPr>
      </w:pPr>
      <w:r>
        <w:rPr>
          <w:rFonts w:hint="eastAsia" w:ascii="宋体" w:hAnsi="宋体" w:cs="宋体"/>
          <w:szCs w:val="21"/>
        </w:rPr>
        <w:t>（1）出现震颤、强直、运动迟缓等临床表现,经住院确诊为帕金森氏病 (必要条件)。</w:t>
      </w:r>
    </w:p>
    <w:p>
      <w:pPr>
        <w:tabs>
          <w:tab w:val="left" w:pos="360"/>
        </w:tabs>
        <w:ind w:left="420"/>
        <w:jc w:val="left"/>
        <w:rPr>
          <w:rFonts w:ascii="宋体" w:hAnsi="宋体" w:cs="宋体"/>
          <w:szCs w:val="21"/>
        </w:rPr>
      </w:pPr>
      <w:r>
        <w:rPr>
          <w:rFonts w:hint="eastAsia" w:ascii="宋体" w:hAnsi="宋体" w:cs="宋体"/>
          <w:szCs w:val="21"/>
        </w:rPr>
        <w:t>（2）出现震颤、强直、运动迟缓等临床表现,经二级或二级以上医院门诊确诊为帕金森氏病 (必要条件)。</w:t>
      </w:r>
    </w:p>
    <w:p>
      <w:pPr>
        <w:tabs>
          <w:tab w:val="left" w:pos="360"/>
        </w:tabs>
        <w:ind w:left="420"/>
        <w:jc w:val="left"/>
        <w:rPr>
          <w:rFonts w:ascii="宋体" w:hAnsi="宋体" w:cs="宋体"/>
          <w:szCs w:val="21"/>
        </w:rPr>
      </w:pPr>
      <w:r>
        <w:rPr>
          <w:rFonts w:hint="eastAsia" w:ascii="宋体" w:hAnsi="宋体" w:cs="宋体"/>
          <w:szCs w:val="21"/>
        </w:rPr>
        <w:t>———准入标准:必要条件一条。</w:t>
      </w:r>
    </w:p>
    <w:p>
      <w:pPr>
        <w:tabs>
          <w:tab w:val="left" w:pos="360"/>
        </w:tabs>
        <w:ind w:left="420"/>
        <w:jc w:val="left"/>
        <w:rPr>
          <w:rFonts w:ascii="宋体" w:hAnsi="宋体" w:cs="宋体"/>
          <w:szCs w:val="21"/>
        </w:rPr>
      </w:pPr>
      <w:r>
        <w:rPr>
          <w:rFonts w:hint="eastAsia" w:ascii="宋体" w:hAnsi="宋体" w:cs="宋体"/>
          <w:szCs w:val="21"/>
        </w:rPr>
        <w:t>2.治疗范围：</w:t>
      </w:r>
    </w:p>
    <w:p>
      <w:pPr>
        <w:tabs>
          <w:tab w:val="left" w:pos="360"/>
        </w:tabs>
        <w:ind w:left="420" w:firstLine="420"/>
        <w:jc w:val="left"/>
        <w:rPr>
          <w:rFonts w:ascii="宋体" w:hAnsi="宋体" w:cs="宋体"/>
          <w:szCs w:val="21"/>
        </w:rPr>
      </w:pPr>
      <w:r>
        <w:rPr>
          <w:rFonts w:hint="eastAsia" w:ascii="宋体" w:hAnsi="宋体" w:cs="宋体"/>
          <w:szCs w:val="21"/>
        </w:rPr>
        <w:t>抗帕金森氏病药物。</w:t>
      </w:r>
    </w:p>
    <w:p>
      <w:pPr>
        <w:tabs>
          <w:tab w:val="left" w:pos="360"/>
        </w:tabs>
        <w:ind w:left="420" w:firstLine="420"/>
        <w:jc w:val="left"/>
        <w:rPr>
          <w:rFonts w:ascii="宋体" w:hAnsi="宋体" w:cs="宋体"/>
          <w:szCs w:val="21"/>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793408" behindDoc="0" locked="0" layoutInCell="1" allowOverlap="1">
                <wp:simplePos x="0" y="0"/>
                <wp:positionH relativeFrom="column">
                  <wp:posOffset>-32385</wp:posOffset>
                </wp:positionH>
                <wp:positionV relativeFrom="paragraph">
                  <wp:posOffset>53340</wp:posOffset>
                </wp:positionV>
                <wp:extent cx="5382895" cy="1772285"/>
                <wp:effectExtent l="4445" t="4445" r="22860" b="13970"/>
                <wp:wrapNone/>
                <wp:docPr id="16" name="Quad Arrow 1195"/>
                <wp:cNvGraphicFramePr/>
                <a:graphic xmlns:a="http://schemas.openxmlformats.org/drawingml/2006/main">
                  <a:graphicData uri="http://schemas.microsoft.com/office/word/2010/wordprocessingShape">
                    <wps:wsp>
                      <wps:cNvSpPr txBox="1"/>
                      <wps:spPr>
                        <a:xfrm>
                          <a:off x="0" y="0"/>
                          <a:ext cx="5382895" cy="177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ascii="宋体" w:hAnsi="宋体" w:cs="宋体"/>
                              </w:rPr>
                            </w:pPr>
                            <w:r>
                              <w:rPr>
                                <w:rFonts w:hint="eastAsia" w:ascii="宋体" w:hAnsi="宋体" w:cs="宋体"/>
                              </w:rPr>
                              <w:t>帕金森病简称PD。</w:t>
                            </w:r>
                            <w:r>
                              <w:rPr>
                                <w:rFonts w:hint="eastAsia" w:ascii="宋体" w:hAnsi="宋体" w:cs="宋体"/>
                                <w:color w:val="0000FF"/>
                                <w:lang w:eastAsia="zh-CN"/>
                              </w:rPr>
                              <w:t>无病历诊断的需另外提供疾病诊断书。</w:t>
                            </w:r>
                          </w:p>
                        </w:txbxContent>
                      </wps:txbx>
                      <wps:bodyPr upright="1">
                        <a:spAutoFit/>
                      </wps:bodyPr>
                    </wps:wsp>
                  </a:graphicData>
                </a:graphic>
              </wp:anchor>
            </w:drawing>
          </mc:Choice>
          <mc:Fallback>
            <w:pict>
              <v:shape id="Quad Arrow 1195" o:spid="_x0000_s1026" o:spt="202" type="#_x0000_t202" style="position:absolute;left:0pt;margin-left:-2.55pt;margin-top:4.2pt;height:139.55pt;width:423.85pt;z-index:251793408;mso-width-relative:page;mso-height-relative:page;" fillcolor="#FFFFFF" filled="t" stroked="t" coordsize="21600,21600" o:gfxdata="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u8g2zYAAAACAEAAA8AAAAAAAAAAQAgAAAAIgAAAGRycy9kb3ducmV2LnhtbFBLAQIU&#10;ABQAAAAIAIdO4kBNcWHq8wEAAAgEAAAOAAAAAAAAAAEAIAAAACcBAABkcnMvZTJvRG9jLnhtbFBL&#10;BQYAAAAABgAGAFkBAACMBQAAAAA=&#10;">
                <v:fill on="t" focussize="0,0"/>
                <v:stroke color="#000000" joinstyle="miter"/>
                <v:imagedata o:title=""/>
                <o:lock v:ext="edit" aspectratio="f"/>
                <v:textbox style="mso-fit-shape-to-text:t;">
                  <w:txbxContent>
                    <w:p>
                      <w:pPr>
                        <w:ind w:firstLine="420" w:firstLineChars="200"/>
                        <w:rPr>
                          <w:rFonts w:ascii="宋体" w:hAnsi="宋体" w:cs="宋体"/>
                        </w:rPr>
                      </w:pPr>
                      <w:r>
                        <w:rPr>
                          <w:rFonts w:hint="eastAsia" w:ascii="宋体" w:hAnsi="宋体" w:cs="宋体"/>
                        </w:rPr>
                        <w:t>帕金森病简称PD。</w:t>
                      </w:r>
                      <w:r>
                        <w:rPr>
                          <w:rFonts w:hint="eastAsia" w:ascii="宋体" w:hAnsi="宋体" w:cs="宋体"/>
                          <w:color w:val="0000FF"/>
                          <w:lang w:eastAsia="zh-CN"/>
                        </w:rPr>
                        <w:t>无病历诊断的需另外提供疾病诊断书。</w:t>
                      </w:r>
                    </w:p>
                  </w:txbxContent>
                </v:textbox>
              </v:shape>
            </w:pict>
          </mc:Fallback>
        </mc:AlternateContent>
      </w:r>
    </w:p>
    <w:p>
      <w:pPr>
        <w:tabs>
          <w:tab w:val="left" w:pos="360"/>
        </w:tabs>
        <w:ind w:left="420"/>
        <w:jc w:val="left"/>
        <w:rPr>
          <w:rFonts w:ascii="宋体" w:hAnsi="宋体" w:cs="宋体"/>
          <w:szCs w:val="21"/>
        </w:rPr>
      </w:pPr>
    </w:p>
    <w:p>
      <w:pPr>
        <w:tabs>
          <w:tab w:val="left" w:pos="360"/>
        </w:tabs>
        <w:ind w:left="420"/>
        <w:jc w:val="left"/>
        <w:rPr>
          <w:rFonts w:ascii="宋体" w:hAnsi="宋体" w:cs="宋体"/>
          <w:szCs w:val="21"/>
        </w:rPr>
      </w:pPr>
    </w:p>
    <w:p>
      <w:pPr>
        <w:tabs>
          <w:tab w:val="left" w:pos="360"/>
        </w:tabs>
        <w:ind w:left="420"/>
        <w:jc w:val="left"/>
        <w:rPr>
          <w:rFonts w:ascii="宋体" w:hAnsi="宋体" w:cs="宋体"/>
          <w:szCs w:val="21"/>
        </w:rPr>
      </w:pPr>
    </w:p>
    <w:p>
      <w:pPr>
        <w:pStyle w:val="2"/>
        <w:rPr>
          <w:color w:val="auto"/>
        </w:rPr>
      </w:pPr>
      <w:bookmarkStart w:id="16" w:name="_Toc14851"/>
      <w:r>
        <w:rPr>
          <w:rFonts w:hint="eastAsia"/>
          <w:color w:val="auto"/>
        </w:rPr>
        <w:t>（十三）矽肺病</w:t>
      </w:r>
      <w:bookmarkEnd w:id="16"/>
    </w:p>
    <w:p>
      <w:pPr>
        <w:tabs>
          <w:tab w:val="left" w:pos="360"/>
        </w:tabs>
        <w:ind w:firstLine="420" w:firstLineChars="200"/>
        <w:jc w:val="left"/>
        <w:rPr>
          <w:rFonts w:ascii="宋体" w:hAnsi="宋体" w:cs="宋体"/>
          <w:szCs w:val="21"/>
        </w:rPr>
      </w:pPr>
      <w:r>
        <w:rPr>
          <w:rFonts w:hint="eastAsia" w:ascii="宋体" w:hAnsi="宋体" w:cs="宋体"/>
          <w:szCs w:val="21"/>
        </w:rPr>
        <w:t>1.诊断标准：</w:t>
      </w:r>
    </w:p>
    <w:p>
      <w:pPr>
        <w:tabs>
          <w:tab w:val="left" w:pos="360"/>
        </w:tabs>
        <w:ind w:firstLine="420" w:firstLineChars="200"/>
        <w:jc w:val="left"/>
        <w:rPr>
          <w:rFonts w:ascii="宋体" w:hAnsi="宋体" w:cs="宋体"/>
          <w:szCs w:val="21"/>
        </w:rPr>
      </w:pPr>
      <w:r>
        <w:rPr>
          <w:rFonts w:hint="eastAsia" w:ascii="宋体" w:hAnsi="宋体" w:cs="宋体"/>
          <w:szCs w:val="21"/>
        </w:rPr>
        <w:t>（1）根据患者有密切的粉尘接触史及详实的职业史，结合临床表现咳嗽、咯痰、胸闷、胸痛等症状经二级或二级以上医院临床确诊为矽肺病(必要条件)。</w:t>
      </w:r>
    </w:p>
    <w:p>
      <w:pPr>
        <w:tabs>
          <w:tab w:val="left" w:pos="360"/>
        </w:tabs>
        <w:ind w:firstLine="420" w:firstLineChars="200"/>
        <w:jc w:val="left"/>
        <w:rPr>
          <w:rFonts w:ascii="宋体" w:hAnsi="宋体" w:cs="宋体"/>
          <w:szCs w:val="21"/>
        </w:rPr>
      </w:pPr>
      <w:r>
        <w:rPr>
          <w:rFonts w:hint="eastAsia" w:ascii="宋体" w:hAnsi="宋体" w:cs="宋体"/>
          <w:szCs w:val="21"/>
        </w:rPr>
        <w:t>（2）肺部影像学检查：矽肺病的影像学表现(必要条件)。</w:t>
      </w:r>
    </w:p>
    <w:p>
      <w:pPr>
        <w:tabs>
          <w:tab w:val="left" w:pos="360"/>
        </w:tabs>
        <w:ind w:firstLine="420" w:firstLineChars="200"/>
        <w:jc w:val="left"/>
        <w:rPr>
          <w:rFonts w:ascii="宋体" w:hAnsi="宋体" w:cs="宋体"/>
          <w:szCs w:val="21"/>
        </w:rPr>
      </w:pPr>
      <w:r>
        <w:rPr>
          <w:rFonts w:hint="eastAsia" w:ascii="宋体" w:hAnsi="宋体" w:cs="宋体"/>
          <w:szCs w:val="21"/>
        </w:rPr>
        <w:t>———准入标准:必要条件二条。</w:t>
      </w:r>
    </w:p>
    <w:p>
      <w:pPr>
        <w:tabs>
          <w:tab w:val="left" w:pos="360"/>
        </w:tabs>
        <w:ind w:firstLine="420" w:firstLineChars="200"/>
        <w:jc w:val="left"/>
        <w:rPr>
          <w:rFonts w:ascii="宋体" w:hAnsi="宋体" w:cs="宋体"/>
          <w:szCs w:val="21"/>
        </w:rPr>
      </w:pPr>
      <w:r>
        <w:rPr>
          <w:rFonts w:hint="eastAsia" w:ascii="宋体" w:hAnsi="宋体" w:cs="宋体"/>
          <w:szCs w:val="21"/>
        </w:rPr>
        <w:t>2.治疗范围（包括并发呼吸系统感染）：</w:t>
      </w:r>
    </w:p>
    <w:p>
      <w:pPr>
        <w:tabs>
          <w:tab w:val="left" w:pos="360"/>
        </w:tabs>
        <w:ind w:firstLine="420" w:firstLineChars="200"/>
        <w:jc w:val="left"/>
        <w:rPr>
          <w:rFonts w:ascii="宋体" w:hAnsi="宋体" w:cs="宋体"/>
          <w:szCs w:val="21"/>
        </w:rPr>
      </w:pPr>
      <w:r>
        <w:rPr>
          <w:rFonts w:hint="eastAsia" w:ascii="宋体" w:hAnsi="宋体" w:cs="宋体"/>
          <w:szCs w:val="21"/>
        </w:rPr>
        <w:t>（1）汉防已甲素。</w:t>
      </w:r>
    </w:p>
    <w:p>
      <w:pPr>
        <w:tabs>
          <w:tab w:val="left" w:pos="360"/>
        </w:tabs>
        <w:ind w:firstLine="420" w:firstLineChars="200"/>
        <w:jc w:val="left"/>
        <w:rPr>
          <w:rFonts w:ascii="宋体" w:hAnsi="宋体" w:cs="宋体"/>
          <w:szCs w:val="21"/>
        </w:rPr>
      </w:pPr>
      <w:r>
        <w:rPr>
          <w:rFonts w:hint="eastAsia" w:ascii="宋体" w:hAnsi="宋体" w:cs="宋体"/>
          <w:szCs w:val="21"/>
        </w:rPr>
        <w:t>（2）抗感染治疗（限呼吸系统感染）。</w:t>
      </w:r>
    </w:p>
    <w:p>
      <w:pPr>
        <w:tabs>
          <w:tab w:val="left" w:pos="360"/>
        </w:tabs>
        <w:ind w:firstLine="420" w:firstLineChars="200"/>
        <w:jc w:val="left"/>
        <w:rPr>
          <w:rFonts w:ascii="宋体" w:hAnsi="宋体" w:cs="宋体"/>
          <w:szCs w:val="21"/>
        </w:rPr>
      </w:pPr>
      <w:r>
        <w:rPr>
          <w:rFonts w:hint="eastAsia" w:ascii="宋体" w:hAnsi="宋体" w:cs="宋体"/>
          <w:szCs w:val="21"/>
        </w:rPr>
        <w:t>（3）吸氧。</w:t>
      </w:r>
    </w:p>
    <w:p>
      <w:pPr>
        <w:tabs>
          <w:tab w:val="left" w:pos="360"/>
        </w:tabs>
        <w:ind w:firstLine="420" w:firstLineChars="200"/>
        <w:jc w:val="left"/>
        <w:rPr>
          <w:rFonts w:ascii="宋体" w:hAnsi="宋体" w:cs="宋体"/>
          <w:szCs w:val="21"/>
        </w:rPr>
      </w:pPr>
      <w:r>
        <w:rPr>
          <w:rFonts w:hint="eastAsia" w:ascii="宋体" w:hAnsi="宋体" w:cs="宋体"/>
          <w:szCs w:val="21"/>
        </w:rPr>
        <w:t>3.检验：</w:t>
      </w:r>
    </w:p>
    <w:p>
      <w:pPr>
        <w:tabs>
          <w:tab w:val="left" w:pos="360"/>
        </w:tabs>
        <w:ind w:firstLine="420" w:firstLineChars="200"/>
        <w:jc w:val="left"/>
        <w:rPr>
          <w:rFonts w:ascii="宋体" w:hAnsi="宋体" w:cs="宋体"/>
          <w:szCs w:val="21"/>
        </w:rPr>
      </w:pPr>
      <w:r>
        <w:rPr>
          <w:rFonts w:hint="eastAsia" w:ascii="宋体" w:hAnsi="宋体" w:cs="宋体"/>
          <w:szCs w:val="21"/>
        </w:rPr>
        <w:t>X线胸片（次/3-6月）、胸部CT（次/3-6月）、肺功能（次/3-6月）。</w:t>
      </w:r>
    </w:p>
    <w:p>
      <w:pPr>
        <w:tabs>
          <w:tab w:val="left" w:pos="360"/>
        </w:tabs>
        <w:ind w:firstLine="413" w:firstLineChars="196"/>
        <w:jc w:val="left"/>
        <w:rPr>
          <w:rFonts w:ascii="宋体" w:hAnsi="宋体" w:cs="宋体"/>
          <w:b/>
          <w:szCs w:val="21"/>
        </w:rPr>
      </w:pPr>
      <w:r>
        <w:rPr>
          <w:rFonts w:hint="eastAsia" w:ascii="宋体" w:hAnsi="宋体" w:cs="宋体"/>
          <w:b/>
          <w:szCs w:val="21"/>
        </w:rPr>
        <w:t>注：2017年3月13日开始，治疗及检验的报销范围有所增多。</w:t>
      </w:r>
    </w:p>
    <w:p>
      <w:pPr>
        <w:jc w:val="left"/>
        <w:rPr>
          <w:rFonts w:ascii="宋体" w:hAnsi="宋体" w:cs="宋体"/>
          <w:b/>
          <w:bCs/>
          <w:szCs w:val="21"/>
        </w:rPr>
      </w:pPr>
    </w:p>
    <w:p>
      <w:pPr>
        <w:pStyle w:val="2"/>
        <w:rPr>
          <w:color w:val="auto"/>
        </w:rPr>
      </w:pPr>
      <w:bookmarkStart w:id="17" w:name="_Toc18353"/>
      <w:r>
        <w:rPr>
          <w:rFonts w:hint="eastAsia"/>
          <w:color w:val="auto"/>
        </w:rPr>
        <w:t>（十四）肺结核（PTB）</w:t>
      </w:r>
      <w:bookmarkEnd w:id="17"/>
    </w:p>
    <w:p>
      <w:pPr>
        <w:tabs>
          <w:tab w:val="left" w:pos="360"/>
        </w:tabs>
        <w:ind w:firstLine="420" w:firstLineChars="200"/>
        <w:jc w:val="left"/>
        <w:rPr>
          <w:rFonts w:ascii="宋体" w:hAnsi="宋体" w:cs="宋体"/>
          <w:bCs/>
          <w:szCs w:val="21"/>
        </w:rPr>
      </w:pPr>
      <w:r>
        <w:rPr>
          <w:rFonts w:hint="eastAsia" w:ascii="宋体" w:hAnsi="宋体" w:cs="宋体"/>
          <w:bCs/>
          <w:szCs w:val="21"/>
        </w:rPr>
        <w:t>1.诊断标准：</w:t>
      </w:r>
    </w:p>
    <w:p>
      <w:pPr>
        <w:tabs>
          <w:tab w:val="left" w:pos="360"/>
        </w:tabs>
        <w:ind w:firstLine="420" w:firstLineChars="200"/>
        <w:jc w:val="left"/>
        <w:rPr>
          <w:rFonts w:ascii="宋体" w:hAnsi="宋体" w:cs="宋体"/>
          <w:bCs/>
          <w:szCs w:val="21"/>
        </w:rPr>
      </w:pPr>
      <w:r>
        <w:rPr>
          <w:rFonts w:hint="eastAsia" w:ascii="宋体" w:hAnsi="宋体" w:cs="宋体"/>
          <w:bCs/>
          <w:szCs w:val="21"/>
        </w:rPr>
        <w:t>（1）出现咳嗽、咳血、低热、午后盗汗等临床表现,经二级或二级以上医院临床确诊为肺结核病 (必要条件)。</w:t>
      </w:r>
    </w:p>
    <w:p>
      <w:pPr>
        <w:tabs>
          <w:tab w:val="left" w:pos="360"/>
        </w:tabs>
        <w:ind w:firstLine="420" w:firstLineChars="200"/>
        <w:jc w:val="left"/>
        <w:rPr>
          <w:rFonts w:ascii="宋体" w:hAnsi="宋体" w:cs="宋体"/>
          <w:bCs/>
          <w:szCs w:val="21"/>
        </w:rPr>
      </w:pPr>
      <w:r>
        <w:rPr>
          <w:rFonts w:hint="eastAsia" w:ascii="宋体" w:hAnsi="宋体" w:cs="宋体"/>
          <w:bCs/>
          <w:szCs w:val="21"/>
        </w:rPr>
        <w:t>（2）肺部影像学检查:显示有活动病灶 (参考条件)。</w:t>
      </w:r>
    </w:p>
    <w:p>
      <w:pPr>
        <w:tabs>
          <w:tab w:val="left" w:pos="360"/>
        </w:tabs>
        <w:ind w:firstLine="420" w:firstLineChars="200"/>
        <w:jc w:val="left"/>
        <w:rPr>
          <w:rFonts w:ascii="宋体" w:hAnsi="宋体" w:cs="宋体"/>
          <w:bCs/>
          <w:szCs w:val="21"/>
        </w:rPr>
      </w:pPr>
      <w:r>
        <w:rPr>
          <w:rFonts w:hint="eastAsia" w:ascii="宋体" w:hAnsi="宋体" w:cs="宋体"/>
          <w:bCs/>
          <w:szCs w:val="21"/>
        </w:rPr>
        <w:t xml:space="preserve">（3）痰结核菌培养或涂片:阳性 (参考条件)。      </w:t>
      </w:r>
    </w:p>
    <w:p>
      <w:pPr>
        <w:tabs>
          <w:tab w:val="left" w:pos="360"/>
        </w:tabs>
        <w:ind w:firstLine="420" w:firstLineChars="200"/>
        <w:jc w:val="left"/>
        <w:rPr>
          <w:rFonts w:ascii="宋体" w:hAnsi="宋体" w:cs="宋体"/>
          <w:bCs/>
          <w:szCs w:val="21"/>
        </w:rPr>
      </w:pPr>
      <w:r>
        <w:rPr>
          <w:rFonts w:hint="eastAsia" w:ascii="宋体" w:hAnsi="宋体" w:cs="宋体"/>
          <w:bCs/>
          <w:szCs w:val="21"/>
        </w:rPr>
        <w:t>（4）PPD试验:阳性 (参考条件)。</w:t>
      </w:r>
    </w:p>
    <w:p>
      <w:pPr>
        <w:tabs>
          <w:tab w:val="left" w:pos="360"/>
        </w:tabs>
        <w:ind w:firstLine="420" w:firstLineChars="200"/>
        <w:jc w:val="left"/>
        <w:rPr>
          <w:rFonts w:ascii="宋体" w:hAnsi="宋体" w:cs="宋体"/>
          <w:bCs/>
          <w:szCs w:val="21"/>
        </w:rPr>
      </w:pPr>
      <w:r>
        <w:rPr>
          <w:rFonts w:hint="eastAsia" w:ascii="宋体" w:hAnsi="宋体" w:cs="宋体"/>
          <w:bCs/>
          <w:szCs w:val="21"/>
        </w:rPr>
        <w:t>（5）T-SPOT:阳性 (参考条件)。</w:t>
      </w:r>
    </w:p>
    <w:p>
      <w:pPr>
        <w:tabs>
          <w:tab w:val="left" w:pos="360"/>
        </w:tabs>
        <w:ind w:firstLine="420" w:firstLineChars="200"/>
        <w:jc w:val="left"/>
        <w:rPr>
          <w:rFonts w:ascii="宋体" w:hAnsi="宋体" w:cs="宋体"/>
          <w:bCs/>
          <w:szCs w:val="21"/>
        </w:rPr>
      </w:pPr>
      <w:r>
        <w:rPr>
          <w:rFonts w:hint="eastAsia" w:ascii="宋体" w:hAnsi="宋体" w:cs="宋体"/>
          <w:bCs/>
          <w:szCs w:val="21"/>
        </w:rPr>
        <w:t>（6）痰结核分支杆菌基因检测:阳性 (参考条件)。</w:t>
      </w:r>
    </w:p>
    <w:p>
      <w:pPr>
        <w:tabs>
          <w:tab w:val="left" w:pos="360"/>
        </w:tabs>
        <w:ind w:firstLine="420" w:firstLineChars="200"/>
        <w:jc w:val="left"/>
        <w:rPr>
          <w:rFonts w:ascii="宋体" w:hAnsi="宋体" w:cs="宋体"/>
          <w:bCs/>
          <w:szCs w:val="21"/>
        </w:rPr>
      </w:pPr>
      <w:r>
        <w:rPr>
          <w:rFonts w:hint="eastAsia" w:ascii="宋体" w:hAnsi="宋体" w:cs="宋体"/>
          <w:bCs/>
          <w:szCs w:val="21"/>
        </w:rPr>
        <w:t>———准入标准:必要条件一条+参考条件一条。</w:t>
      </w:r>
    </w:p>
    <w:p>
      <w:pPr>
        <w:tabs>
          <w:tab w:val="left" w:pos="360"/>
        </w:tabs>
        <w:ind w:firstLine="420" w:firstLineChars="200"/>
        <w:jc w:val="left"/>
        <w:rPr>
          <w:rFonts w:ascii="宋体" w:hAnsi="宋体" w:cs="宋体"/>
          <w:bCs/>
          <w:szCs w:val="21"/>
        </w:rPr>
      </w:pPr>
      <w:r>
        <w:rPr>
          <w:rFonts w:hint="eastAsia" w:ascii="宋体" w:hAnsi="宋体" w:cs="宋体"/>
          <w:bCs/>
          <w:szCs w:val="21"/>
        </w:rPr>
        <w:t>2.治疗范围：</w:t>
      </w:r>
    </w:p>
    <w:p>
      <w:pPr>
        <w:tabs>
          <w:tab w:val="left" w:pos="360"/>
        </w:tabs>
        <w:ind w:firstLine="420" w:firstLineChars="200"/>
        <w:jc w:val="left"/>
        <w:rPr>
          <w:rFonts w:ascii="宋体" w:hAnsi="宋体" w:cs="宋体"/>
          <w:bCs/>
          <w:szCs w:val="21"/>
        </w:rPr>
      </w:pPr>
      <w:r>
        <w:rPr>
          <w:rFonts w:hint="eastAsia" w:ascii="宋体" w:hAnsi="宋体" w:cs="宋体"/>
          <w:bCs/>
          <w:szCs w:val="21"/>
        </w:rPr>
        <w:t>（1）抗结核的药物治疗。</w:t>
      </w:r>
    </w:p>
    <w:p>
      <w:pPr>
        <w:tabs>
          <w:tab w:val="left" w:pos="360"/>
        </w:tabs>
        <w:ind w:firstLine="420" w:firstLineChars="200"/>
        <w:jc w:val="left"/>
        <w:rPr>
          <w:rFonts w:ascii="宋体" w:hAnsi="宋体" w:cs="宋体"/>
          <w:bCs/>
          <w:szCs w:val="21"/>
        </w:rPr>
      </w:pPr>
      <w:r>
        <w:rPr>
          <w:rFonts w:hint="eastAsia" w:ascii="宋体" w:hAnsi="宋体" w:cs="宋体"/>
          <w:bCs/>
          <w:szCs w:val="21"/>
        </w:rPr>
        <w:t>（2）辅助的药物治疗：护肝（肝病辅助治疗药物），升白细胞药物。</w:t>
      </w:r>
    </w:p>
    <w:p>
      <w:pPr>
        <w:tabs>
          <w:tab w:val="left" w:pos="360"/>
        </w:tabs>
        <w:ind w:firstLine="420" w:firstLineChars="200"/>
        <w:jc w:val="left"/>
        <w:rPr>
          <w:rFonts w:ascii="宋体" w:hAnsi="宋体" w:cs="宋体"/>
          <w:bCs/>
          <w:szCs w:val="21"/>
        </w:rPr>
      </w:pPr>
      <w:r>
        <w:rPr>
          <w:rFonts w:hint="eastAsia" w:ascii="宋体" w:hAnsi="宋体" w:cs="宋体"/>
          <w:bCs/>
          <w:szCs w:val="21"/>
        </w:rPr>
        <w:t>3.检验：</w:t>
      </w:r>
    </w:p>
    <w:p>
      <w:pPr>
        <w:tabs>
          <w:tab w:val="left" w:pos="360"/>
        </w:tabs>
        <w:ind w:firstLine="420" w:firstLineChars="200"/>
        <w:jc w:val="left"/>
        <w:rPr>
          <w:rFonts w:hint="eastAsia" w:ascii="宋体" w:hAnsi="宋体" w:cs="宋体"/>
          <w:bCs/>
          <w:szCs w:val="21"/>
        </w:rPr>
      </w:pPr>
      <w:r>
        <w:rPr>
          <w:rFonts w:hint="eastAsia" w:ascii="宋体" w:hAnsi="宋体" w:cs="宋体"/>
          <w:bCs/>
          <w:szCs w:val="21"/>
        </w:rPr>
        <w:t>血常规（次/1-3月）、肝肾功能常规检查（次/1-3月）、痰结核杆菌培养（次/1-3月）、痰结核菌检查（次/1-3月）、药敏检测（次/3-6月）、X线胸片（次/3-6月）、胸部CT（次/3-6月）。</w:t>
      </w:r>
    </w:p>
    <w:p>
      <w:pPr>
        <w:tabs>
          <w:tab w:val="left" w:pos="360"/>
        </w:tabs>
        <w:ind w:firstLine="420" w:firstLineChars="200"/>
        <w:jc w:val="left"/>
        <w:rPr>
          <w:rFonts w:hint="eastAsia" w:ascii="宋体" w:hAnsi="宋体" w:cs="宋体"/>
          <w:bCs/>
          <w:szCs w:val="21"/>
        </w:rPr>
      </w:pPr>
    </w:p>
    <w:p>
      <w:pPr>
        <w:tabs>
          <w:tab w:val="left" w:pos="360"/>
        </w:tabs>
        <w:ind w:firstLine="422" w:firstLineChars="200"/>
        <w:jc w:val="left"/>
        <w:rPr>
          <w:rFonts w:ascii="宋体" w:hAnsi="宋体" w:cs="宋体"/>
          <w:bCs/>
          <w:szCs w:val="21"/>
        </w:rPr>
      </w:pPr>
      <w:r>
        <w:rPr>
          <w:rFonts w:ascii="宋体" w:hAnsi="宋体" w:eastAsia="宋体" w:cs="宋体"/>
          <w:b/>
          <w:kern w:val="2"/>
          <w:sz w:val="21"/>
          <w:szCs w:val="21"/>
          <w:lang w:val="en-US" w:eastAsia="zh-CN" w:bidi="ar-SA"/>
        </w:rPr>
        <mc:AlternateContent>
          <mc:Choice Requires="wps">
            <w:drawing>
              <wp:anchor distT="0" distB="0" distL="114300" distR="114300" simplePos="0" relativeHeight="251794432" behindDoc="0" locked="0" layoutInCell="1" allowOverlap="1">
                <wp:simplePos x="0" y="0"/>
                <wp:positionH relativeFrom="column">
                  <wp:posOffset>-57150</wp:posOffset>
                </wp:positionH>
                <wp:positionV relativeFrom="paragraph">
                  <wp:posOffset>73025</wp:posOffset>
                </wp:positionV>
                <wp:extent cx="5382895" cy="2268220"/>
                <wp:effectExtent l="4445" t="4445" r="22860" b="13335"/>
                <wp:wrapNone/>
                <wp:docPr id="17" name="Quad Arrow 1198"/>
                <wp:cNvGraphicFramePr/>
                <a:graphic xmlns:a="http://schemas.openxmlformats.org/drawingml/2006/main">
                  <a:graphicData uri="http://schemas.microsoft.com/office/word/2010/wordprocessingShape">
                    <wps:wsp>
                      <wps:cNvSpPr txBox="1"/>
                      <wps:spPr>
                        <a:xfrm>
                          <a:off x="0" y="0"/>
                          <a:ext cx="5382895" cy="2268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7"/>
                              </w:numPr>
                              <w:ind w:left="0" w:firstLine="420" w:firstLineChars="200"/>
                              <w:rPr>
                                <w:rFonts w:ascii="宋体" w:hAnsi="宋体" w:cs="宋体"/>
                              </w:rPr>
                            </w:pPr>
                            <w:r>
                              <w:rPr>
                                <w:rFonts w:hint="eastAsia" w:ascii="宋体" w:hAnsi="宋体" w:cs="宋体"/>
                              </w:rPr>
                              <w:t>“肺部影像学显示有活动病灶”，按以下标准确定有无活动性：活动性病变在胸片上通常表现为边缘模糊不清的斑片状阴影，可有中心溶解和空洞，或出现播散病灶；胸片表现为钙化、硬结或纤维化，痰检查不排菌，无任何症状，为无活动性肺结核。</w:t>
                            </w:r>
                          </w:p>
                          <w:p>
                            <w:pPr>
                              <w:numPr>
                                <w:ilvl w:val="0"/>
                                <w:numId w:val="7"/>
                              </w:numPr>
                              <w:ind w:left="0" w:firstLine="420" w:firstLineChars="200"/>
                              <w:rPr>
                                <w:rFonts w:ascii="宋体" w:hAnsi="宋体" w:cs="宋体"/>
                              </w:rPr>
                            </w:pPr>
                            <w:r>
                              <w:rPr>
                                <w:rFonts w:hint="eastAsia" w:ascii="宋体" w:hAnsi="宋体" w:cs="宋体"/>
                              </w:rPr>
                              <w:t>痰涂片的“抗酸染色”检测结果为阳性，符合“诊断标准”（3）。</w:t>
                            </w:r>
                          </w:p>
                          <w:p>
                            <w:pPr>
                              <w:numPr>
                                <w:ilvl w:val="0"/>
                                <w:numId w:val="7"/>
                              </w:numPr>
                              <w:ind w:left="0" w:firstLine="420" w:firstLineChars="200"/>
                              <w:rPr>
                                <w:rFonts w:ascii="宋体" w:hAnsi="宋体" w:cs="宋体"/>
                                <w:u w:val="single"/>
                              </w:rPr>
                            </w:pPr>
                            <w:r>
                              <w:rPr>
                                <w:rFonts w:hint="eastAsia" w:ascii="宋体" w:hAnsi="宋体" w:cs="宋体"/>
                                <w:u w:val="single"/>
                              </w:rPr>
                              <w:t>结核菌素试验（也称为芒图试验、PPD试验）是一种诊断结核的工具。</w:t>
                            </w:r>
                          </w:p>
                          <w:p>
                            <w:pPr>
                              <w:numPr>
                                <w:ilvl w:val="0"/>
                                <w:numId w:val="7"/>
                              </w:numPr>
                              <w:ind w:left="0" w:firstLine="420" w:firstLineChars="200"/>
                              <w:rPr>
                                <w:rFonts w:ascii="宋体" w:hAnsi="宋体" w:cs="宋体"/>
                                <w:u w:val="single"/>
                              </w:rPr>
                            </w:pPr>
                            <w:r>
                              <w:rPr>
                                <w:rFonts w:hint="eastAsia" w:ascii="宋体" w:hAnsi="宋体" w:cs="宋体"/>
                                <w:u w:val="single"/>
                              </w:rPr>
                              <w:t>T-SPOT是指T细胞斑点检测结核感染，检测有无结核分枝杆菌；TB是结核分枝杆菌的英文简写。</w:t>
                            </w:r>
                            <w:r>
                              <w:rPr>
                                <w:rFonts w:hint="eastAsia" w:ascii="宋体" w:hAnsi="宋体" w:cs="宋体"/>
                                <w:color w:val="0000FF"/>
                                <w:u w:val="single"/>
                              </w:rPr>
                              <w:t>T-SPOT用于结核分支杆检测和结核感染的辅助检查，阳性有可能结核杆菌感染，诊断率达90%以上。需进一步完善影像学检查。</w:t>
                            </w:r>
                            <w:r>
                              <w:rPr>
                                <w:rFonts w:hint="eastAsia" w:ascii="方正姚体" w:hAnsi="方正姚体" w:eastAsia="方正姚体" w:cs="方正姚体"/>
                                <w:color w:val="FF0000"/>
                                <w:szCs w:val="21"/>
                              </w:rPr>
                              <w:t>结核杆菌特异性细胞免疫反应检测【又称为γ-干扰素释放分析技术（IGRA）】，T-SPOT.TB是γ干扰素释放试验（interferon gamma release assay，IGRA）的一种。结核特异性细胞免疫反应检测为阳性认可为T - SPOT阳性的化验指标。</w:t>
                            </w:r>
                          </w:p>
                          <w:p>
                            <w:pPr>
                              <w:ind w:firstLine="420" w:firstLineChars="200"/>
                              <w:rPr>
                                <w:rFonts w:ascii="宋体" w:hAnsi="宋体" w:cs="宋体"/>
                              </w:rPr>
                            </w:pPr>
                          </w:p>
                        </w:txbxContent>
                      </wps:txbx>
                      <wps:bodyPr upright="1"/>
                    </wps:wsp>
                  </a:graphicData>
                </a:graphic>
              </wp:anchor>
            </w:drawing>
          </mc:Choice>
          <mc:Fallback>
            <w:pict>
              <v:shape id="Quad Arrow 1198" o:spid="_x0000_s1026" o:spt="202" type="#_x0000_t202" style="position:absolute;left:0pt;margin-left:-4.5pt;margin-top:5.75pt;height:178.6pt;width:423.85pt;z-index:251794432;mso-width-relative:page;mso-height-relative:page;" fillcolor="#FFFFFF" filled="t" stroked="t" coordsize="21600,21600" o:gfxdata="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L+n2QAAAAkBAAAPAAAAAAAAAAEAIAAAACIAAABkcnMvZG93bnJldi54bWxQSwECFAAUAAAACACH&#10;TuJAXzAzTuoBAADuAwAADgAAAAAAAAABACAAAAAoAQAAZHJzL2Uyb0RvYy54bWxQSwUGAAAAAAYA&#10;BgBZAQAAhAUAAAAA&#10;">
                <v:fill on="t" focussize="0,0"/>
                <v:stroke color="#000000" joinstyle="miter"/>
                <v:imagedata o:title=""/>
                <o:lock v:ext="edit" aspectratio="f"/>
                <v:textbox>
                  <w:txbxContent>
                    <w:p>
                      <w:pPr>
                        <w:numPr>
                          <w:ilvl w:val="0"/>
                          <w:numId w:val="7"/>
                        </w:numPr>
                        <w:ind w:left="0" w:firstLine="420" w:firstLineChars="200"/>
                        <w:rPr>
                          <w:rFonts w:ascii="宋体" w:hAnsi="宋体" w:cs="宋体"/>
                        </w:rPr>
                      </w:pPr>
                      <w:r>
                        <w:rPr>
                          <w:rFonts w:hint="eastAsia" w:ascii="宋体" w:hAnsi="宋体" w:cs="宋体"/>
                        </w:rPr>
                        <w:t>“肺部影像学显示有活动病灶”，按以下标准确定有无活动性：活动性病变在胸片上通常表现为边缘模糊不清的斑片状阴影，可有中心溶解和空洞，或出现播散病灶；胸片表现为钙化、硬结或纤维化，痰检查不排菌，无任何症状，为无活动性肺结核。</w:t>
                      </w:r>
                    </w:p>
                    <w:p>
                      <w:pPr>
                        <w:numPr>
                          <w:ilvl w:val="0"/>
                          <w:numId w:val="7"/>
                        </w:numPr>
                        <w:ind w:left="0" w:firstLine="420" w:firstLineChars="200"/>
                        <w:rPr>
                          <w:rFonts w:ascii="宋体" w:hAnsi="宋体" w:cs="宋体"/>
                        </w:rPr>
                      </w:pPr>
                      <w:r>
                        <w:rPr>
                          <w:rFonts w:hint="eastAsia" w:ascii="宋体" w:hAnsi="宋体" w:cs="宋体"/>
                        </w:rPr>
                        <w:t>痰涂片的“抗酸染色”检测结果为阳性，符合“诊断标准”（3）。</w:t>
                      </w:r>
                    </w:p>
                    <w:p>
                      <w:pPr>
                        <w:numPr>
                          <w:ilvl w:val="0"/>
                          <w:numId w:val="7"/>
                        </w:numPr>
                        <w:ind w:left="0" w:firstLine="420" w:firstLineChars="200"/>
                        <w:rPr>
                          <w:rFonts w:ascii="宋体" w:hAnsi="宋体" w:cs="宋体"/>
                          <w:u w:val="single"/>
                        </w:rPr>
                      </w:pPr>
                      <w:r>
                        <w:rPr>
                          <w:rFonts w:hint="eastAsia" w:ascii="宋体" w:hAnsi="宋体" w:cs="宋体"/>
                          <w:u w:val="single"/>
                        </w:rPr>
                        <w:t>结核菌素试验（也称为芒图试验、PPD试验）是一种诊断结核的工具。</w:t>
                      </w:r>
                    </w:p>
                    <w:p>
                      <w:pPr>
                        <w:numPr>
                          <w:ilvl w:val="0"/>
                          <w:numId w:val="7"/>
                        </w:numPr>
                        <w:ind w:left="0" w:firstLine="420" w:firstLineChars="200"/>
                        <w:rPr>
                          <w:rFonts w:ascii="宋体" w:hAnsi="宋体" w:cs="宋体"/>
                          <w:u w:val="single"/>
                        </w:rPr>
                      </w:pPr>
                      <w:r>
                        <w:rPr>
                          <w:rFonts w:hint="eastAsia" w:ascii="宋体" w:hAnsi="宋体" w:cs="宋体"/>
                          <w:u w:val="single"/>
                        </w:rPr>
                        <w:t>T-SPOT是指T细胞斑点检测结核感染，检测有无结核分枝杆菌；TB是结核分枝杆菌的英文简写。</w:t>
                      </w:r>
                      <w:r>
                        <w:rPr>
                          <w:rFonts w:hint="eastAsia" w:ascii="宋体" w:hAnsi="宋体" w:cs="宋体"/>
                          <w:color w:val="0000FF"/>
                          <w:u w:val="single"/>
                        </w:rPr>
                        <w:t>T-SPOT用于结核分支杆检测和结核感染的辅助检查，阳性有可能结核杆菌感染，诊断率达90%以上。需进一步完善影像学检查。</w:t>
                      </w:r>
                      <w:r>
                        <w:rPr>
                          <w:rFonts w:hint="eastAsia" w:ascii="方正姚体" w:hAnsi="方正姚体" w:eastAsia="方正姚体" w:cs="方正姚体"/>
                          <w:color w:val="FF0000"/>
                          <w:szCs w:val="21"/>
                        </w:rPr>
                        <w:t>结核杆菌特异性细胞免疫反应检测【又称为γ-干扰素释放分析技术（IGRA）】，T-SPOT.TB是γ干扰素释放试验（interferon gamma release assay，IGRA）的一种。结核特异性细胞免疫反应检测为阳性认可为T - SPOT阳性的化验指标。</w:t>
                      </w:r>
                    </w:p>
                    <w:p>
                      <w:pPr>
                        <w:ind w:firstLine="420" w:firstLineChars="200"/>
                        <w:rPr>
                          <w:rFonts w:ascii="宋体" w:hAnsi="宋体" w:cs="宋体"/>
                        </w:rPr>
                      </w:pPr>
                    </w:p>
                  </w:txbxContent>
                </v:textbox>
              </v:shape>
            </w:pict>
          </mc:Fallback>
        </mc:AlternateContent>
      </w:r>
    </w:p>
    <w:p>
      <w:pPr>
        <w:tabs>
          <w:tab w:val="left" w:pos="360"/>
        </w:tabs>
        <w:ind w:firstLine="420" w:firstLineChars="200"/>
        <w:jc w:val="left"/>
        <w:rPr>
          <w:rFonts w:ascii="宋体" w:hAnsi="宋体" w:cs="宋体"/>
          <w:bCs/>
          <w:szCs w:val="21"/>
        </w:rPr>
      </w:pPr>
    </w:p>
    <w:p>
      <w:pPr>
        <w:tabs>
          <w:tab w:val="left" w:pos="360"/>
        </w:tabs>
        <w:ind w:firstLine="420" w:firstLineChars="200"/>
        <w:jc w:val="left"/>
        <w:rPr>
          <w:rFonts w:ascii="宋体" w:hAnsi="宋体" w:cs="宋体"/>
          <w:bCs/>
          <w:szCs w:val="21"/>
        </w:rPr>
      </w:pPr>
    </w:p>
    <w:p>
      <w:pPr>
        <w:tabs>
          <w:tab w:val="left" w:pos="360"/>
        </w:tabs>
        <w:ind w:firstLine="420" w:firstLineChars="200"/>
        <w:jc w:val="left"/>
        <w:rPr>
          <w:rFonts w:ascii="宋体" w:hAnsi="宋体" w:cs="宋体"/>
          <w:bCs/>
          <w:szCs w:val="21"/>
        </w:rPr>
      </w:pPr>
    </w:p>
    <w:p>
      <w:pPr>
        <w:tabs>
          <w:tab w:val="left" w:pos="360"/>
        </w:tabs>
        <w:ind w:firstLine="420" w:firstLineChars="200"/>
        <w:jc w:val="left"/>
        <w:rPr>
          <w:rFonts w:ascii="宋体" w:hAnsi="宋体" w:cs="宋体"/>
          <w:bCs/>
          <w:szCs w:val="21"/>
        </w:rPr>
      </w:pPr>
    </w:p>
    <w:p>
      <w:pPr>
        <w:tabs>
          <w:tab w:val="left" w:pos="360"/>
        </w:tabs>
        <w:ind w:firstLine="420" w:firstLineChars="200"/>
        <w:jc w:val="left"/>
        <w:rPr>
          <w:rFonts w:ascii="宋体" w:hAnsi="宋体" w:cs="宋体"/>
          <w:bCs/>
          <w:szCs w:val="21"/>
        </w:rPr>
      </w:pPr>
    </w:p>
    <w:p>
      <w:pPr>
        <w:tabs>
          <w:tab w:val="left" w:pos="360"/>
        </w:tabs>
        <w:ind w:firstLine="420" w:firstLineChars="200"/>
        <w:jc w:val="left"/>
        <w:rPr>
          <w:rFonts w:ascii="宋体" w:hAnsi="宋体" w:cs="宋体"/>
          <w:bCs/>
          <w:szCs w:val="21"/>
        </w:rPr>
      </w:pPr>
    </w:p>
    <w:p>
      <w:pPr>
        <w:tabs>
          <w:tab w:val="left" w:pos="360"/>
        </w:tabs>
        <w:ind w:left="422"/>
        <w:jc w:val="left"/>
        <w:rPr>
          <w:rFonts w:ascii="宋体" w:hAnsi="宋体" w:cs="宋体"/>
          <w:b/>
          <w:bCs/>
          <w:szCs w:val="21"/>
        </w:rPr>
      </w:pPr>
    </w:p>
    <w:p>
      <w:pPr>
        <w:tabs>
          <w:tab w:val="left" w:pos="360"/>
        </w:tabs>
        <w:ind w:left="422"/>
        <w:jc w:val="left"/>
        <w:rPr>
          <w:rFonts w:ascii="宋体" w:hAnsi="宋体" w:cs="宋体"/>
          <w:b/>
          <w:bCs/>
          <w:szCs w:val="21"/>
        </w:rPr>
      </w:pPr>
    </w:p>
    <w:p>
      <w:pPr>
        <w:tabs>
          <w:tab w:val="left" w:pos="360"/>
        </w:tabs>
        <w:ind w:left="422"/>
        <w:jc w:val="left"/>
        <w:rPr>
          <w:rFonts w:ascii="宋体" w:hAnsi="宋体" w:cs="宋体"/>
          <w:b/>
          <w:bCs/>
          <w:szCs w:val="21"/>
        </w:rPr>
      </w:pPr>
    </w:p>
    <w:p>
      <w:pPr>
        <w:tabs>
          <w:tab w:val="left" w:pos="360"/>
        </w:tabs>
        <w:ind w:left="422"/>
        <w:jc w:val="left"/>
        <w:rPr>
          <w:rFonts w:ascii="宋体" w:hAnsi="宋体" w:cs="宋体"/>
          <w:b/>
          <w:bCs/>
          <w:szCs w:val="21"/>
        </w:rPr>
      </w:pPr>
    </w:p>
    <w:p>
      <w:pPr>
        <w:tabs>
          <w:tab w:val="left" w:pos="360"/>
        </w:tabs>
        <w:ind w:left="422"/>
        <w:jc w:val="left"/>
        <w:rPr>
          <w:rFonts w:ascii="宋体" w:hAnsi="宋体" w:cs="宋体"/>
          <w:b/>
          <w:bCs/>
          <w:szCs w:val="21"/>
        </w:rPr>
      </w:pPr>
    </w:p>
    <w:p>
      <w:pPr>
        <w:ind w:firstLine="422" w:firstLineChars="200"/>
        <w:rPr>
          <w:rFonts w:ascii="宋体" w:hAnsi="宋体" w:cs="宋体"/>
          <w:b/>
        </w:rPr>
      </w:pPr>
      <w:r>
        <w:rPr>
          <w:rFonts w:hint="eastAsia" w:ascii="宋体" w:hAnsi="宋体" w:cs="宋体"/>
          <w:b/>
        </w:rPr>
        <w:t>相关链接：（仅供参考）</w:t>
      </w:r>
    </w:p>
    <w:p>
      <w:pPr>
        <w:ind w:firstLine="420" w:firstLineChars="200"/>
        <w:rPr>
          <w:rFonts w:ascii="宋体" w:hAnsi="宋体" w:cs="宋体"/>
        </w:rPr>
      </w:pPr>
      <w:r>
        <w:rPr>
          <w:rFonts w:hint="eastAsia" w:ascii="宋体" w:hAnsi="宋体" w:eastAsia="宋体" w:cs="宋体"/>
        </w:rPr>
        <w:t>▲</w:t>
      </w:r>
      <w:r>
        <w:rPr>
          <w:rFonts w:hint="eastAsia" w:ascii="宋体" w:hAnsi="宋体" w:cs="宋体"/>
        </w:rPr>
        <w:t>肺结核的活动性如何判断?</w:t>
      </w:r>
    </w:p>
    <w:p>
      <w:pPr>
        <w:ind w:firstLine="420" w:firstLineChars="200"/>
        <w:rPr>
          <w:rFonts w:ascii="宋体" w:hAnsi="宋体" w:cs="宋体"/>
        </w:rPr>
      </w:pPr>
      <w:r>
        <w:rPr>
          <w:rFonts w:hint="eastAsia" w:ascii="宋体" w:hAnsi="宋体" w:cs="宋体"/>
        </w:rPr>
        <w:t>肺结核病是由结核分枝杆菌入侵机体后在一定条件下引起的肺部慢性感染性疾病，其中痰排菌者为传染性肺结核病。</w:t>
      </w:r>
    </w:p>
    <w:p>
      <w:pPr>
        <w:ind w:firstLine="420" w:firstLineChars="200"/>
        <w:rPr>
          <w:rFonts w:ascii="宋体" w:hAnsi="宋体" w:cs="宋体"/>
        </w:rPr>
      </w:pPr>
      <w:r>
        <w:rPr>
          <w:rFonts w:hint="eastAsia" w:ascii="宋体" w:hAnsi="宋体" w:cs="宋体"/>
        </w:rPr>
        <w:t>一、病变进展（活动性）</w:t>
      </w:r>
    </w:p>
    <w:p>
      <w:pPr>
        <w:ind w:firstLine="420" w:firstLineChars="200"/>
        <w:rPr>
          <w:rFonts w:ascii="宋体" w:hAnsi="宋体" w:cs="宋体"/>
        </w:rPr>
      </w:pPr>
      <w:r>
        <w:rPr>
          <w:rFonts w:hint="eastAsia" w:ascii="宋体" w:hAnsi="宋体" w:cs="宋体"/>
        </w:rPr>
        <w:t>1. 具有低热、盗汗、咳嗽、咳痰等全身中毒或局部呼吸道症状。</w:t>
      </w:r>
    </w:p>
    <w:p>
      <w:pPr>
        <w:ind w:firstLine="420" w:firstLineChars="200"/>
        <w:rPr>
          <w:rFonts w:ascii="宋体" w:hAnsi="宋体" w:cs="宋体"/>
        </w:rPr>
      </w:pPr>
      <w:r>
        <w:rPr>
          <w:rFonts w:hint="eastAsia" w:ascii="宋体" w:hAnsi="宋体" w:cs="宋体"/>
        </w:rPr>
        <w:t>2. 痰菌，尤其是痰培养阳性，或由阴性转阳性。</w:t>
      </w:r>
    </w:p>
    <w:p>
      <w:pPr>
        <w:ind w:firstLine="420" w:firstLineChars="200"/>
        <w:rPr>
          <w:rFonts w:ascii="宋体" w:hAnsi="宋体" w:cs="宋体"/>
        </w:rPr>
      </w:pPr>
      <w:r>
        <w:rPr>
          <w:rFonts w:hint="eastAsia" w:ascii="宋体" w:hAnsi="宋体" w:cs="宋体"/>
        </w:rPr>
        <w:t>3. X线表现：显示有渗出、干酪、增殖性病变或发现新出现的浸润性或播散性病灶，或原病变范围较前扩大，出现新鲜空洞或原空洞较前增大。</w:t>
      </w:r>
    </w:p>
    <w:p>
      <w:pPr>
        <w:ind w:firstLine="420" w:firstLineChars="200"/>
        <w:rPr>
          <w:rFonts w:ascii="宋体" w:hAnsi="宋体" w:cs="宋体"/>
        </w:rPr>
      </w:pPr>
      <w:r>
        <w:rPr>
          <w:rFonts w:hint="eastAsia" w:ascii="宋体" w:hAnsi="宋体" w:cs="宋体"/>
        </w:rPr>
        <w:t>4. CT显示小叶中央结节影、或春芽样改变，边缘模糊。</w:t>
      </w:r>
    </w:p>
    <w:p>
      <w:pPr>
        <w:ind w:firstLine="420" w:firstLineChars="200"/>
        <w:rPr>
          <w:rFonts w:ascii="宋体" w:hAnsi="宋体" w:cs="宋体"/>
        </w:rPr>
      </w:pPr>
      <w:r>
        <w:rPr>
          <w:rFonts w:hint="eastAsia" w:ascii="宋体" w:hAnsi="宋体" w:cs="宋体"/>
        </w:rPr>
        <w:t>二、病变稳定</w:t>
      </w:r>
    </w:p>
    <w:p>
      <w:pPr>
        <w:ind w:firstLine="420" w:firstLineChars="200"/>
        <w:rPr>
          <w:rFonts w:ascii="宋体" w:hAnsi="宋体" w:cs="宋体"/>
        </w:rPr>
      </w:pPr>
      <w:r>
        <w:rPr>
          <w:rFonts w:hint="eastAsia" w:ascii="宋体" w:hAnsi="宋体" w:cs="宋体"/>
        </w:rPr>
        <w:t>1. 已无相关临床症状。</w:t>
      </w:r>
    </w:p>
    <w:p>
      <w:pPr>
        <w:ind w:firstLine="420" w:firstLineChars="200"/>
        <w:rPr>
          <w:rFonts w:ascii="宋体" w:hAnsi="宋体" w:cs="宋体"/>
        </w:rPr>
      </w:pPr>
      <w:r>
        <w:rPr>
          <w:rFonts w:hint="eastAsia" w:ascii="宋体" w:hAnsi="宋体" w:cs="宋体"/>
        </w:rPr>
        <w:t>2. 痰菌连续6次以上阴性(每月查2次)，如有空洞需连续观察1年。</w:t>
      </w:r>
    </w:p>
    <w:p>
      <w:pPr>
        <w:ind w:firstLine="420" w:firstLineChars="200"/>
        <w:rPr>
          <w:rFonts w:ascii="宋体" w:hAnsi="宋体" w:cs="宋体"/>
        </w:rPr>
      </w:pPr>
      <w:r>
        <w:rPr>
          <w:rFonts w:hint="eastAsia" w:ascii="宋体" w:hAnsi="宋体" w:cs="宋体"/>
        </w:rPr>
        <w:t>3. X线表现为纤维硬结或钙化病灶，空洞闭合。未闭空洞为纤维厚壁，且连续1年痰菌阴性，即“净化空洞”。</w:t>
      </w:r>
    </w:p>
    <w:p>
      <w:pPr>
        <w:ind w:firstLine="420" w:firstLineChars="200"/>
        <w:rPr>
          <w:rFonts w:ascii="宋体" w:hAnsi="宋体" w:cs="宋体"/>
        </w:rPr>
      </w:pPr>
      <w:r>
        <w:rPr>
          <w:rFonts w:hint="eastAsia" w:ascii="宋体" w:hAnsi="宋体" w:cs="宋体"/>
        </w:rPr>
        <w:t>4. CT检查：纵隔窗显示密度较高的斑点、纤维条状阴影，与肺窗相比病变范围和形态相差不大。提示大部为纤维硬结性或钙化病灶。</w:t>
      </w:r>
    </w:p>
    <w:p>
      <w:pPr>
        <w:ind w:firstLine="420" w:firstLineChars="200"/>
        <w:rPr>
          <w:rFonts w:ascii="宋体" w:hAnsi="宋体" w:cs="宋体"/>
        </w:rPr>
      </w:pPr>
      <w:r>
        <w:rPr>
          <w:rFonts w:hint="eastAsia" w:ascii="宋体" w:hAnsi="宋体" w:cs="宋体"/>
        </w:rPr>
        <w:t>5. 病变稳定患者继续观察2年，仍无活动性表现，可视为临床痊愈。</w:t>
      </w:r>
    </w:p>
    <w:p>
      <w:pPr>
        <w:ind w:firstLine="420" w:firstLineChars="200"/>
        <w:rPr>
          <w:rFonts w:ascii="宋体" w:hAnsi="宋体" w:cs="宋体"/>
        </w:rPr>
      </w:pPr>
    </w:p>
    <w:p>
      <w:pPr>
        <w:ind w:firstLine="420" w:firstLineChars="200"/>
        <w:rPr>
          <w:rFonts w:ascii="宋体" w:hAnsi="宋体" w:cs="宋体"/>
        </w:rPr>
      </w:pPr>
    </w:p>
    <w:p>
      <w:pPr>
        <w:pStyle w:val="2"/>
        <w:rPr>
          <w:b w:val="0"/>
          <w:bCs/>
          <w:color w:val="auto"/>
        </w:rPr>
      </w:pPr>
      <w:bookmarkStart w:id="18" w:name="_Toc22730"/>
      <w:r>
        <w:rPr>
          <w:rFonts w:hint="eastAsia"/>
          <w:color w:val="auto"/>
        </w:rPr>
        <w:t>（十五）慢性肾功能不全（非透析治疗）（疾病诊断书必须写明“慢性”）</w:t>
      </w:r>
      <w:bookmarkEnd w:id="18"/>
    </w:p>
    <w:p>
      <w:pPr>
        <w:tabs>
          <w:tab w:val="left" w:pos="360"/>
        </w:tabs>
        <w:ind w:firstLine="420" w:firstLineChars="200"/>
        <w:jc w:val="left"/>
        <w:rPr>
          <w:rFonts w:ascii="宋体" w:hAnsi="宋体" w:cs="宋体"/>
          <w:bCs/>
          <w:szCs w:val="21"/>
        </w:rPr>
      </w:pPr>
      <w:r>
        <w:rPr>
          <w:rFonts w:hint="eastAsia" w:ascii="宋体" w:hAnsi="宋体" w:cs="宋体"/>
          <w:bCs/>
          <w:szCs w:val="21"/>
        </w:rPr>
        <w:t>1.诊断标准：</w:t>
      </w:r>
    </w:p>
    <w:p>
      <w:pPr>
        <w:tabs>
          <w:tab w:val="left" w:pos="360"/>
        </w:tabs>
        <w:ind w:firstLine="420" w:firstLineChars="200"/>
        <w:jc w:val="left"/>
        <w:rPr>
          <w:rFonts w:ascii="宋体" w:hAnsi="宋体" w:cs="宋体"/>
          <w:bCs/>
          <w:szCs w:val="21"/>
        </w:rPr>
      </w:pPr>
      <w:r>
        <w:rPr>
          <w:rFonts w:hint="eastAsia" w:ascii="宋体" w:hAnsi="宋体" w:cs="宋体"/>
          <w:bCs/>
          <w:szCs w:val="21"/>
        </w:rPr>
        <w:t>（1）病程迁延并缓慢进展,经门诊或住院确诊为慢性肾功能不全（非透析治疗）(必要条件)。</w:t>
      </w:r>
    </w:p>
    <w:p>
      <w:pPr>
        <w:tabs>
          <w:tab w:val="left" w:pos="360"/>
        </w:tabs>
        <w:ind w:firstLine="420" w:firstLineChars="200"/>
        <w:jc w:val="left"/>
        <w:rPr>
          <w:rFonts w:ascii="宋体" w:hAnsi="宋体" w:cs="宋体"/>
          <w:bCs/>
          <w:szCs w:val="21"/>
        </w:rPr>
      </w:pPr>
      <w:r>
        <w:rPr>
          <w:rFonts w:hint="eastAsia" w:ascii="宋体" w:hAnsi="宋体" w:cs="宋体"/>
          <w:bCs/>
          <w:szCs w:val="21"/>
        </w:rPr>
        <w:t>（2）肾脏功能检验:三个月内三次以上血肌酐</w:t>
      </w:r>
      <w:r>
        <w:rPr>
          <w:rFonts w:hint="eastAsia" w:ascii="宋体" w:hAnsi="宋体" w:cs="宋体"/>
          <w:b/>
          <w:bCs/>
          <w:szCs w:val="21"/>
        </w:rPr>
        <w:t>（CREA）</w:t>
      </w:r>
      <w:r>
        <w:rPr>
          <w:rFonts w:hint="eastAsia" w:ascii="宋体" w:hAnsi="宋体" w:cs="宋体"/>
          <w:bCs/>
          <w:szCs w:val="21"/>
        </w:rPr>
        <w:t xml:space="preserve"> ≥178umol/L（2.013</w:t>
      </w:r>
      <w:r>
        <w:rPr>
          <w:rFonts w:hint="eastAsia" w:ascii="宋体" w:hAnsi="宋体" w:cs="宋体"/>
        </w:rPr>
        <w:t>mg/dL</w:t>
      </w:r>
      <w:r>
        <w:rPr>
          <w:rFonts w:hint="eastAsia" w:ascii="宋体" w:hAnsi="宋体" w:cs="宋体"/>
          <w:bCs/>
          <w:szCs w:val="21"/>
        </w:rPr>
        <w:t>）或血尿素氮（BUN）水平升高&gt;10mmol/L或肾小球滤过率 (GFR)≤45ml/min （MDRD公式计算或ECT检查）(必要条件)。</w:t>
      </w:r>
    </w:p>
    <w:p>
      <w:pPr>
        <w:tabs>
          <w:tab w:val="left" w:pos="360"/>
        </w:tabs>
        <w:ind w:firstLine="420" w:firstLineChars="200"/>
        <w:jc w:val="left"/>
        <w:rPr>
          <w:rFonts w:ascii="宋体" w:hAnsi="宋体" w:cs="宋体"/>
          <w:bCs/>
          <w:szCs w:val="21"/>
        </w:rPr>
      </w:pPr>
      <w:r>
        <w:rPr>
          <w:rFonts w:hint="eastAsia" w:ascii="宋体" w:hAnsi="宋体" w:cs="宋体"/>
          <w:bCs/>
          <w:szCs w:val="21"/>
        </w:rPr>
        <w:t>（3）尿液检验:长期持续出现蛋白尿、血尿 (参考条件)。</w:t>
      </w:r>
    </w:p>
    <w:p>
      <w:pPr>
        <w:tabs>
          <w:tab w:val="left" w:pos="360"/>
        </w:tabs>
        <w:ind w:firstLine="420" w:firstLineChars="200"/>
        <w:jc w:val="left"/>
        <w:rPr>
          <w:rFonts w:ascii="宋体" w:hAnsi="宋体" w:cs="宋体"/>
          <w:bCs/>
          <w:szCs w:val="21"/>
        </w:rPr>
      </w:pPr>
      <w:r>
        <w:rPr>
          <w:rFonts w:hint="eastAsia" w:ascii="宋体" w:hAnsi="宋体" w:cs="宋体"/>
          <w:bCs/>
          <w:szCs w:val="21"/>
        </w:rPr>
        <w:t>（4）B超、X 线、CT 检查:显示肾脏减小（长径小于9cm)、皮质变薄(皮质厚度小于1.3cm)(参考条件)。</w:t>
      </w:r>
    </w:p>
    <w:p>
      <w:pPr>
        <w:tabs>
          <w:tab w:val="left" w:pos="360"/>
        </w:tabs>
        <w:ind w:firstLine="420" w:firstLineChars="200"/>
        <w:jc w:val="left"/>
        <w:rPr>
          <w:rFonts w:ascii="宋体" w:hAnsi="宋体" w:cs="宋体"/>
          <w:bCs/>
          <w:szCs w:val="21"/>
        </w:rPr>
      </w:pPr>
      <w:r>
        <w:rPr>
          <w:rFonts w:hint="eastAsia" w:ascii="宋体" w:hAnsi="宋体" w:cs="宋体"/>
          <w:bCs/>
          <w:szCs w:val="21"/>
        </w:rPr>
        <w:t>———准入标准:必要条件二条+参考条件一条。</w:t>
      </w:r>
    </w:p>
    <w:p>
      <w:pPr>
        <w:tabs>
          <w:tab w:val="left" w:pos="360"/>
        </w:tabs>
        <w:ind w:firstLine="420" w:firstLineChars="200"/>
        <w:jc w:val="left"/>
        <w:rPr>
          <w:rFonts w:ascii="宋体" w:hAnsi="宋体" w:cs="宋体"/>
          <w:bCs/>
          <w:szCs w:val="21"/>
        </w:rPr>
      </w:pPr>
      <w:r>
        <w:rPr>
          <w:rFonts w:hint="eastAsia" w:ascii="宋体" w:hAnsi="宋体" w:cs="宋体"/>
          <w:bCs/>
          <w:szCs w:val="21"/>
        </w:rPr>
        <w:t>2.治疗范围：</w:t>
      </w:r>
    </w:p>
    <w:p>
      <w:pPr>
        <w:tabs>
          <w:tab w:val="left" w:pos="360"/>
        </w:tabs>
        <w:ind w:firstLine="420" w:firstLineChars="200"/>
        <w:jc w:val="left"/>
        <w:rPr>
          <w:rFonts w:ascii="宋体" w:hAnsi="宋体" w:cs="宋体"/>
          <w:bCs/>
          <w:szCs w:val="21"/>
        </w:rPr>
      </w:pPr>
      <w:r>
        <w:rPr>
          <w:rFonts w:hint="eastAsia" w:ascii="宋体" w:hAnsi="宋体" w:cs="宋体"/>
          <w:bCs/>
          <w:szCs w:val="21"/>
        </w:rPr>
        <w:t>（1）降压药物。</w:t>
      </w:r>
    </w:p>
    <w:p>
      <w:pPr>
        <w:tabs>
          <w:tab w:val="left" w:pos="360"/>
        </w:tabs>
        <w:ind w:firstLine="420" w:firstLineChars="200"/>
        <w:jc w:val="left"/>
        <w:rPr>
          <w:rFonts w:ascii="宋体" w:hAnsi="宋体" w:cs="宋体"/>
          <w:bCs/>
          <w:szCs w:val="21"/>
        </w:rPr>
      </w:pPr>
      <w:r>
        <w:rPr>
          <w:rFonts w:hint="eastAsia" w:ascii="宋体" w:hAnsi="宋体" w:cs="宋体"/>
          <w:bCs/>
          <w:szCs w:val="21"/>
        </w:rPr>
        <w:t>（2）其他辅助用药:复方α-酮酸、抗贫血药。</w:t>
      </w:r>
    </w:p>
    <w:p>
      <w:pPr>
        <w:tabs>
          <w:tab w:val="left" w:pos="360"/>
        </w:tabs>
        <w:ind w:firstLine="420" w:firstLineChars="200"/>
        <w:jc w:val="left"/>
        <w:rPr>
          <w:rFonts w:ascii="宋体" w:hAnsi="宋体" w:cs="宋体"/>
          <w:bCs/>
          <w:szCs w:val="21"/>
        </w:rPr>
      </w:pPr>
      <w:r>
        <w:rPr>
          <w:rFonts w:hint="eastAsia" w:ascii="宋体" w:hAnsi="宋体" w:cs="宋体"/>
          <w:bCs/>
          <w:szCs w:val="21"/>
        </w:rPr>
        <w:t>3.检验：</w:t>
      </w:r>
    </w:p>
    <w:p>
      <w:pPr>
        <w:tabs>
          <w:tab w:val="left" w:pos="360"/>
        </w:tabs>
        <w:ind w:firstLine="420" w:firstLineChars="200"/>
        <w:jc w:val="left"/>
        <w:rPr>
          <w:rFonts w:ascii="宋体" w:hAnsi="宋体" w:cs="宋体"/>
          <w:bCs/>
          <w:szCs w:val="21"/>
        </w:rPr>
      </w:pPr>
      <w:r>
        <w:rPr>
          <w:rFonts w:hint="eastAsia" w:ascii="宋体" w:hAnsi="宋体" w:cs="宋体"/>
          <w:bCs/>
          <w:szCs w:val="21"/>
        </w:rPr>
        <w:t>血常规（次/3月）、生化筛查常规（次/3月）、尿常规（次/3月）。</w:t>
      </w:r>
    </w:p>
    <w:p>
      <w:pPr>
        <w:tabs>
          <w:tab w:val="left" w:pos="360"/>
        </w:tabs>
        <w:ind w:firstLine="420" w:firstLineChars="200"/>
        <w:jc w:val="left"/>
        <w:rPr>
          <w:rFonts w:ascii="宋体" w:hAnsi="宋体" w:cs="宋体"/>
          <w:bCs/>
          <w:szCs w:val="21"/>
        </w:rPr>
      </w:pPr>
    </w:p>
    <w:p>
      <w:pPr>
        <w:tabs>
          <w:tab w:val="left" w:pos="360"/>
        </w:tabs>
        <w:ind w:firstLine="422" w:firstLineChars="200"/>
        <w:jc w:val="left"/>
        <w:rPr>
          <w:rFonts w:ascii="宋体" w:hAnsi="宋体" w:cs="宋体"/>
          <w:bCs/>
          <w:szCs w:val="21"/>
        </w:rPr>
      </w:pPr>
      <w:r>
        <w:rPr>
          <w:rFonts w:ascii="宋体" w:hAnsi="宋体" w:eastAsia="宋体" w:cs="宋体"/>
          <w:b/>
          <w:bCs/>
          <w:kern w:val="2"/>
          <w:sz w:val="21"/>
          <w:szCs w:val="21"/>
          <w:lang w:val="en-US" w:eastAsia="zh-CN" w:bidi="ar-SA"/>
        </w:rPr>
        <mc:AlternateContent>
          <mc:Choice Requires="wps">
            <w:drawing>
              <wp:anchor distT="0" distB="0" distL="114300" distR="114300" simplePos="0" relativeHeight="251795456" behindDoc="0" locked="0" layoutInCell="1" allowOverlap="1">
                <wp:simplePos x="0" y="0"/>
                <wp:positionH relativeFrom="column">
                  <wp:posOffset>-51435</wp:posOffset>
                </wp:positionH>
                <wp:positionV relativeFrom="paragraph">
                  <wp:posOffset>33020</wp:posOffset>
                </wp:positionV>
                <wp:extent cx="5382895" cy="895985"/>
                <wp:effectExtent l="4445" t="4445" r="22860" b="13970"/>
                <wp:wrapNone/>
                <wp:docPr id="18" name="Quad Arrow 1199"/>
                <wp:cNvGraphicFramePr/>
                <a:graphic xmlns:a="http://schemas.openxmlformats.org/drawingml/2006/main">
                  <a:graphicData uri="http://schemas.microsoft.com/office/word/2010/wordprocessingShape">
                    <wps:wsp>
                      <wps:cNvSpPr txBox="1"/>
                      <wps:spPr>
                        <a:xfrm>
                          <a:off x="0" y="0"/>
                          <a:ext cx="5382895" cy="895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ind w:left="0" w:firstLine="420" w:firstLineChars="200"/>
                              <w:rPr>
                                <w:rFonts w:ascii="宋体" w:hAnsi="宋体" w:cs="宋体"/>
                              </w:rPr>
                            </w:pPr>
                            <w:r>
                              <w:rPr>
                                <w:rFonts w:hint="eastAsia" w:ascii="宋体" w:hAnsi="宋体" w:cs="宋体"/>
                              </w:rPr>
                              <w:t>疾病诊断书必须诊断为“慢性肾功能不全”。</w:t>
                            </w:r>
                          </w:p>
                          <w:p>
                            <w:pPr>
                              <w:numPr>
                                <w:ilvl w:val="0"/>
                                <w:numId w:val="8"/>
                              </w:numPr>
                              <w:ind w:left="0" w:firstLine="420" w:firstLineChars="200"/>
                              <w:rPr>
                                <w:rFonts w:ascii="宋体" w:hAnsi="宋体" w:cs="宋体"/>
                              </w:rPr>
                            </w:pPr>
                            <w:r>
                              <w:rPr>
                                <w:rFonts w:hint="eastAsia" w:ascii="宋体" w:hAnsi="宋体" w:cs="宋体"/>
                              </w:rPr>
                              <w:t>血肌酐单位换算：1mg/dL=88.41umol/L。血肌酐(SCr)正常值：男53～106微摩/升（0.6～1.2毫克/分升）；女44～97微摩/升(0.5～1.1毫克/分升）。</w:t>
                            </w:r>
                          </w:p>
                          <w:p>
                            <w:pPr>
                              <w:numPr>
                                <w:ilvl w:val="0"/>
                                <w:numId w:val="8"/>
                              </w:numPr>
                              <w:ind w:left="0" w:firstLine="420" w:firstLineChars="200"/>
                              <w:rPr>
                                <w:rFonts w:ascii="宋体" w:hAnsi="宋体" w:cs="宋体"/>
                              </w:rPr>
                            </w:pPr>
                            <w:r>
                              <w:rPr>
                                <w:rFonts w:hint="eastAsia" w:ascii="宋体" w:hAnsi="宋体" w:cs="宋体"/>
                              </w:rPr>
                              <w:t>尿液检验“长期持续”不正常，收2张以上不同天的报告单即可。</w:t>
                            </w:r>
                          </w:p>
                        </w:txbxContent>
                      </wps:txbx>
                      <wps:bodyPr upright="1"/>
                    </wps:wsp>
                  </a:graphicData>
                </a:graphic>
              </wp:anchor>
            </w:drawing>
          </mc:Choice>
          <mc:Fallback>
            <w:pict>
              <v:shape id="Quad Arrow 1199" o:spid="_x0000_s1026" o:spt="202" type="#_x0000_t202" style="position:absolute;left:0pt;margin-left:-4.05pt;margin-top:2.6pt;height:70.55pt;width:423.85pt;z-index:251795456;mso-width-relative:page;mso-height-relative:page;" fillcolor="#FFFFFF" filled="t" stroked="t" coordsize="21600,21600" o:gfxdata="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JkvEjYAAAA&#10;CAEAAA8AAAAAAAAAAQAgAAAAIgAAAGRycy9kb3ducmV2LnhtbFBLAQIUABQAAAAIAIdO4kCI0hOS&#10;5AEAAO0DAAAOAAAAAAAAAAEAIAAAACcBAABkcnMvZTJvRG9jLnhtbFBLBQYAAAAABgAGAFkBAAB9&#10;BQAAAAA=&#10;">
                <v:fill on="t" focussize="0,0"/>
                <v:stroke color="#000000" joinstyle="miter"/>
                <v:imagedata o:title=""/>
                <o:lock v:ext="edit" aspectratio="f"/>
                <v:textbox>
                  <w:txbxContent>
                    <w:p>
                      <w:pPr>
                        <w:numPr>
                          <w:ilvl w:val="0"/>
                          <w:numId w:val="8"/>
                        </w:numPr>
                        <w:ind w:left="0" w:firstLine="420" w:firstLineChars="200"/>
                        <w:rPr>
                          <w:rFonts w:ascii="宋体" w:hAnsi="宋体" w:cs="宋体"/>
                        </w:rPr>
                      </w:pPr>
                      <w:r>
                        <w:rPr>
                          <w:rFonts w:hint="eastAsia" w:ascii="宋体" w:hAnsi="宋体" w:cs="宋体"/>
                        </w:rPr>
                        <w:t>疾病诊断书必须诊断为“慢性肾功能不全”。</w:t>
                      </w:r>
                    </w:p>
                    <w:p>
                      <w:pPr>
                        <w:numPr>
                          <w:ilvl w:val="0"/>
                          <w:numId w:val="8"/>
                        </w:numPr>
                        <w:ind w:left="0" w:firstLine="420" w:firstLineChars="200"/>
                        <w:rPr>
                          <w:rFonts w:ascii="宋体" w:hAnsi="宋体" w:cs="宋体"/>
                        </w:rPr>
                      </w:pPr>
                      <w:r>
                        <w:rPr>
                          <w:rFonts w:hint="eastAsia" w:ascii="宋体" w:hAnsi="宋体" w:cs="宋体"/>
                        </w:rPr>
                        <w:t>血肌酐单位换算：1mg/dL=88.41umol/L。血肌酐(SCr)正常值：男53～106微摩/升（0.6～1.2毫克/分升）；女44～97微摩/升(0.5～1.1毫克/分升）。</w:t>
                      </w:r>
                    </w:p>
                    <w:p>
                      <w:pPr>
                        <w:numPr>
                          <w:ilvl w:val="0"/>
                          <w:numId w:val="8"/>
                        </w:numPr>
                        <w:ind w:left="0" w:firstLine="420" w:firstLineChars="200"/>
                        <w:rPr>
                          <w:rFonts w:ascii="宋体" w:hAnsi="宋体" w:cs="宋体"/>
                        </w:rPr>
                      </w:pPr>
                      <w:r>
                        <w:rPr>
                          <w:rFonts w:hint="eastAsia" w:ascii="宋体" w:hAnsi="宋体" w:cs="宋体"/>
                        </w:rPr>
                        <w:t>尿液检验“长期持续”不正常，收2张以上不同天的报告单即可。</w:t>
                      </w:r>
                    </w:p>
                  </w:txbxContent>
                </v:textbox>
              </v:shape>
            </w:pict>
          </mc:Fallback>
        </mc:AlternateContent>
      </w:r>
    </w:p>
    <w:p>
      <w:pPr>
        <w:tabs>
          <w:tab w:val="left" w:pos="360"/>
        </w:tabs>
        <w:ind w:firstLine="420" w:firstLineChars="200"/>
        <w:jc w:val="left"/>
        <w:rPr>
          <w:rFonts w:ascii="宋体" w:hAnsi="宋体" w:cs="宋体"/>
          <w:bCs/>
          <w:szCs w:val="21"/>
        </w:rPr>
      </w:pPr>
    </w:p>
    <w:p>
      <w:pPr>
        <w:tabs>
          <w:tab w:val="left" w:pos="360"/>
        </w:tabs>
        <w:ind w:firstLine="420" w:firstLineChars="200"/>
        <w:jc w:val="left"/>
        <w:rPr>
          <w:rFonts w:ascii="宋体" w:hAnsi="宋体" w:cs="宋体"/>
          <w:bCs/>
          <w:szCs w:val="21"/>
        </w:rPr>
      </w:pPr>
    </w:p>
    <w:p>
      <w:pPr>
        <w:tabs>
          <w:tab w:val="left" w:pos="360"/>
        </w:tabs>
        <w:ind w:firstLine="420" w:firstLineChars="200"/>
        <w:jc w:val="left"/>
        <w:rPr>
          <w:rFonts w:ascii="宋体" w:hAnsi="宋体" w:cs="宋体"/>
          <w:bCs/>
          <w:szCs w:val="21"/>
        </w:rPr>
      </w:pPr>
    </w:p>
    <w:p>
      <w:pPr>
        <w:tabs>
          <w:tab w:val="left" w:pos="360"/>
        </w:tabs>
        <w:jc w:val="left"/>
        <w:rPr>
          <w:rFonts w:ascii="宋体" w:hAnsi="宋体" w:cs="宋体"/>
          <w:b/>
          <w:bCs/>
          <w:szCs w:val="21"/>
        </w:rPr>
      </w:pPr>
    </w:p>
    <w:p>
      <w:pPr>
        <w:tabs>
          <w:tab w:val="left" w:pos="360"/>
        </w:tabs>
        <w:jc w:val="left"/>
        <w:rPr>
          <w:rFonts w:ascii="宋体" w:hAnsi="宋体" w:cs="宋体"/>
          <w:b/>
          <w:bCs/>
          <w:szCs w:val="21"/>
        </w:rPr>
      </w:pPr>
    </w:p>
    <w:p>
      <w:pPr>
        <w:tabs>
          <w:tab w:val="left" w:pos="360"/>
        </w:tabs>
        <w:jc w:val="left"/>
        <w:rPr>
          <w:rFonts w:ascii="宋体" w:hAnsi="宋体" w:cs="宋体"/>
          <w:b/>
          <w:bCs/>
          <w:szCs w:val="21"/>
        </w:rPr>
      </w:pPr>
    </w:p>
    <w:p>
      <w:pPr>
        <w:tabs>
          <w:tab w:val="left" w:pos="360"/>
        </w:tabs>
        <w:jc w:val="left"/>
        <w:rPr>
          <w:rFonts w:ascii="宋体" w:hAnsi="宋体" w:cs="宋体"/>
          <w:b/>
          <w:bCs/>
          <w:szCs w:val="21"/>
        </w:rPr>
      </w:pPr>
    </w:p>
    <w:p>
      <w:pPr>
        <w:tabs>
          <w:tab w:val="left" w:pos="360"/>
        </w:tabs>
        <w:jc w:val="left"/>
        <w:rPr>
          <w:rFonts w:ascii="宋体" w:hAnsi="宋体" w:cs="宋体"/>
          <w:b/>
          <w:bCs/>
          <w:szCs w:val="21"/>
        </w:rPr>
      </w:pPr>
    </w:p>
    <w:p>
      <w:pPr>
        <w:tabs>
          <w:tab w:val="left" w:pos="360"/>
        </w:tabs>
        <w:jc w:val="left"/>
        <w:rPr>
          <w:rFonts w:ascii="宋体" w:hAnsi="宋体" w:cs="宋体"/>
          <w:b/>
          <w:bCs/>
          <w:szCs w:val="21"/>
        </w:rPr>
      </w:pPr>
    </w:p>
    <w:p>
      <w:pPr>
        <w:pStyle w:val="2"/>
        <w:rPr>
          <w:color w:val="auto"/>
        </w:rPr>
      </w:pPr>
      <w:bookmarkStart w:id="19" w:name="_Toc6469"/>
      <w:r>
        <w:rPr>
          <w:rFonts w:hint="eastAsia"/>
          <w:color w:val="auto"/>
        </w:rPr>
        <w:t>（十六）冠心病血运重建术后</w:t>
      </w:r>
      <w:bookmarkEnd w:id="19"/>
    </w:p>
    <w:p>
      <w:pPr>
        <w:ind w:firstLine="420" w:firstLineChars="200"/>
        <w:jc w:val="left"/>
        <w:rPr>
          <w:rFonts w:ascii="宋体" w:hAnsi="宋体" w:cs="宋体"/>
          <w:bCs/>
          <w:szCs w:val="21"/>
        </w:rPr>
      </w:pPr>
      <w:r>
        <w:rPr>
          <w:rFonts w:hint="eastAsia" w:ascii="宋体" w:hAnsi="宋体" w:cs="宋体"/>
          <w:bCs/>
          <w:szCs w:val="21"/>
        </w:rPr>
        <w:t>1.诊断标准：</w:t>
      </w:r>
    </w:p>
    <w:p>
      <w:pPr>
        <w:ind w:firstLine="420" w:firstLineChars="200"/>
        <w:jc w:val="left"/>
        <w:rPr>
          <w:rFonts w:ascii="宋体" w:hAnsi="宋体" w:cs="宋体"/>
          <w:bCs/>
          <w:szCs w:val="21"/>
        </w:rPr>
      </w:pPr>
      <w:r>
        <w:rPr>
          <w:rFonts w:hint="eastAsia" w:ascii="宋体" w:hAnsi="宋体" w:cs="宋体"/>
          <w:bCs/>
          <w:szCs w:val="21"/>
        </w:rPr>
        <w:t>（1）冠心病冠状动脉支架植入术后 (必要条件)。</w:t>
      </w:r>
    </w:p>
    <w:p>
      <w:pPr>
        <w:ind w:firstLine="420" w:firstLineChars="200"/>
        <w:jc w:val="left"/>
        <w:rPr>
          <w:rFonts w:ascii="宋体" w:hAnsi="宋体" w:cs="宋体"/>
          <w:bCs/>
          <w:szCs w:val="21"/>
        </w:rPr>
      </w:pPr>
      <w:r>
        <w:rPr>
          <w:rFonts w:hint="eastAsia" w:ascii="宋体" w:hAnsi="宋体" w:cs="宋体"/>
          <w:bCs/>
          <w:szCs w:val="21"/>
        </w:rPr>
        <w:t>（2）冠心病冠状动脉搭桥术后 (必要条件)。</w:t>
      </w:r>
    </w:p>
    <w:p>
      <w:pPr>
        <w:ind w:firstLine="420" w:firstLineChars="200"/>
        <w:jc w:val="left"/>
        <w:rPr>
          <w:rFonts w:ascii="宋体" w:hAnsi="宋体" w:cs="宋体"/>
          <w:bCs/>
          <w:szCs w:val="21"/>
        </w:rPr>
      </w:pPr>
      <w:r>
        <w:rPr>
          <w:rFonts w:hint="eastAsia" w:ascii="宋体" w:hAnsi="宋体" w:cs="宋体"/>
          <w:bCs/>
          <w:szCs w:val="21"/>
        </w:rPr>
        <w:t>（3）提供相关手术记录情况 (参考条件)。</w:t>
      </w:r>
    </w:p>
    <w:p>
      <w:pPr>
        <w:ind w:firstLine="420" w:firstLineChars="200"/>
        <w:jc w:val="left"/>
        <w:rPr>
          <w:rFonts w:ascii="宋体" w:hAnsi="宋体" w:cs="宋体"/>
          <w:bCs/>
          <w:szCs w:val="21"/>
        </w:rPr>
      </w:pPr>
      <w:r>
        <w:rPr>
          <w:rFonts w:hint="eastAsia" w:ascii="宋体" w:hAnsi="宋体" w:cs="宋体"/>
          <w:bCs/>
          <w:szCs w:val="21"/>
        </w:rPr>
        <w:t>（4）冠状动脉CTA或冠状动脉造影术显示相关手术术后改变(参考条件)。</w:t>
      </w:r>
    </w:p>
    <w:p>
      <w:pPr>
        <w:ind w:firstLine="420" w:firstLineChars="200"/>
        <w:jc w:val="left"/>
        <w:rPr>
          <w:rFonts w:ascii="宋体" w:hAnsi="宋体" w:cs="宋体"/>
          <w:bCs/>
          <w:szCs w:val="21"/>
        </w:rPr>
      </w:pPr>
      <w:r>
        <w:rPr>
          <w:rFonts w:hint="eastAsia" w:ascii="宋体" w:hAnsi="宋体" w:cs="宋体"/>
          <w:bCs/>
          <w:szCs w:val="21"/>
        </w:rPr>
        <w:t>———准入标准:必要条件一条+参考条件一条。</w:t>
      </w:r>
    </w:p>
    <w:p>
      <w:pPr>
        <w:ind w:firstLine="420" w:firstLineChars="200"/>
        <w:jc w:val="left"/>
        <w:rPr>
          <w:rFonts w:ascii="宋体" w:hAnsi="宋体" w:cs="宋体"/>
          <w:bCs/>
          <w:szCs w:val="21"/>
        </w:rPr>
      </w:pPr>
      <w:r>
        <w:rPr>
          <w:rFonts w:hint="eastAsia" w:ascii="宋体" w:hAnsi="宋体" w:cs="宋体"/>
          <w:bCs/>
          <w:szCs w:val="21"/>
        </w:rPr>
        <w:t>2.治疗范围：</w:t>
      </w:r>
    </w:p>
    <w:p>
      <w:pPr>
        <w:ind w:firstLine="420" w:firstLineChars="200"/>
        <w:jc w:val="left"/>
        <w:rPr>
          <w:rFonts w:ascii="宋体" w:hAnsi="宋体" w:cs="宋体"/>
          <w:bCs/>
          <w:szCs w:val="21"/>
        </w:rPr>
      </w:pPr>
      <w:r>
        <w:rPr>
          <w:rFonts w:hint="eastAsia" w:ascii="宋体" w:hAnsi="宋体" w:cs="宋体"/>
          <w:bCs/>
          <w:szCs w:val="21"/>
        </w:rPr>
        <w:t>（1）抗血小板药物：阿司匹林、氯吡格雷、替罗非班、西洛他唑。</w:t>
      </w:r>
    </w:p>
    <w:p>
      <w:pPr>
        <w:ind w:firstLine="420" w:firstLineChars="200"/>
        <w:jc w:val="left"/>
        <w:rPr>
          <w:rFonts w:ascii="宋体" w:hAnsi="宋体" w:cs="宋体"/>
          <w:bCs/>
          <w:szCs w:val="21"/>
        </w:rPr>
      </w:pPr>
      <w:r>
        <w:rPr>
          <w:rFonts w:hint="eastAsia" w:ascii="宋体" w:hAnsi="宋体" w:cs="宋体"/>
          <w:bCs/>
          <w:szCs w:val="21"/>
        </w:rPr>
        <w:t>（2）降压药物。</w:t>
      </w:r>
    </w:p>
    <w:p>
      <w:pPr>
        <w:ind w:firstLine="420" w:firstLineChars="200"/>
        <w:jc w:val="left"/>
        <w:rPr>
          <w:rFonts w:ascii="宋体" w:hAnsi="宋体" w:cs="宋体"/>
          <w:bCs/>
          <w:szCs w:val="21"/>
        </w:rPr>
      </w:pPr>
      <w:r>
        <w:rPr>
          <w:rFonts w:hint="eastAsia" w:ascii="宋体" w:hAnsi="宋体" w:cs="宋体"/>
          <w:bCs/>
          <w:szCs w:val="21"/>
        </w:rPr>
        <w:t>（3）硝酸酯类。</w:t>
      </w:r>
    </w:p>
    <w:p>
      <w:pPr>
        <w:ind w:firstLine="420" w:firstLineChars="200"/>
        <w:jc w:val="left"/>
        <w:rPr>
          <w:rFonts w:ascii="宋体" w:hAnsi="宋体" w:cs="宋体"/>
          <w:bCs/>
          <w:szCs w:val="21"/>
        </w:rPr>
      </w:pPr>
      <w:r>
        <w:rPr>
          <w:rFonts w:hint="eastAsia" w:ascii="宋体" w:hAnsi="宋体" w:cs="宋体"/>
          <w:bCs/>
          <w:szCs w:val="21"/>
        </w:rPr>
        <w:t>（4）调脂药物：他汀类及贝特类。</w:t>
      </w:r>
    </w:p>
    <w:p>
      <w:pPr>
        <w:jc w:val="left"/>
        <w:rPr>
          <w:rFonts w:ascii="宋体" w:hAnsi="宋体" w:cs="宋体"/>
          <w:b/>
          <w:bCs/>
          <w:szCs w:val="21"/>
        </w:rPr>
      </w:pPr>
      <w:r>
        <w:rPr>
          <w:rFonts w:ascii="宋体" w:hAnsi="宋体" w:eastAsia="宋体" w:cs="宋体"/>
          <w:b/>
          <w:bCs/>
          <w:kern w:val="2"/>
          <w:sz w:val="21"/>
          <w:szCs w:val="21"/>
          <w:lang w:val="en-US" w:eastAsia="zh-CN" w:bidi="ar-SA"/>
        </w:rPr>
        <mc:AlternateContent>
          <mc:Choice Requires="wps">
            <w:drawing>
              <wp:anchor distT="0" distB="0" distL="114300" distR="114300" simplePos="0" relativeHeight="251796480" behindDoc="0" locked="0" layoutInCell="1" allowOverlap="1">
                <wp:simplePos x="0" y="0"/>
                <wp:positionH relativeFrom="column">
                  <wp:posOffset>-78105</wp:posOffset>
                </wp:positionH>
                <wp:positionV relativeFrom="paragraph">
                  <wp:posOffset>85725</wp:posOffset>
                </wp:positionV>
                <wp:extent cx="5382895" cy="694690"/>
                <wp:effectExtent l="4445" t="4445" r="22860" b="5715"/>
                <wp:wrapNone/>
                <wp:docPr id="19" name="Quad Arrow 1200"/>
                <wp:cNvGraphicFramePr/>
                <a:graphic xmlns:a="http://schemas.openxmlformats.org/drawingml/2006/main">
                  <a:graphicData uri="http://schemas.microsoft.com/office/word/2010/wordprocessingShape">
                    <wps:wsp>
                      <wps:cNvSpPr txBox="1"/>
                      <wps:spPr>
                        <a:xfrm>
                          <a:off x="0" y="0"/>
                          <a:ext cx="5382895" cy="694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
                              </w:numPr>
                              <w:ind w:left="0" w:firstLine="420" w:firstLineChars="200"/>
                              <w:rPr>
                                <w:rFonts w:ascii="宋体" w:hAnsi="宋体" w:cs="宋体"/>
                              </w:rPr>
                            </w:pPr>
                            <w:r>
                              <w:rPr>
                                <w:rFonts w:hint="eastAsia" w:ascii="宋体" w:hAnsi="宋体" w:cs="宋体"/>
                              </w:rPr>
                              <w:t>出院小结中有手术内容，可省相关手术记录，若没有提到，需提供手术记录单。</w:t>
                            </w:r>
                          </w:p>
                          <w:p>
                            <w:pPr>
                              <w:numPr>
                                <w:ilvl w:val="0"/>
                                <w:numId w:val="9"/>
                              </w:numPr>
                              <w:ind w:left="0" w:firstLine="420" w:firstLineChars="200"/>
                              <w:rPr>
                                <w:rFonts w:ascii="宋体" w:hAnsi="宋体" w:cs="宋体"/>
                              </w:rPr>
                            </w:pPr>
                            <w:r>
                              <w:rPr>
                                <w:rFonts w:hint="eastAsia" w:ascii="宋体" w:hAnsi="宋体" w:cs="宋体"/>
                              </w:rPr>
                              <w:t>疾病诊断书写出冠心病支架植入术后或冠心病搭桥术后</w:t>
                            </w:r>
                            <w:r>
                              <w:rPr>
                                <w:rFonts w:hint="eastAsia" w:ascii="宋体" w:hAnsi="宋体" w:cs="宋体"/>
                                <w:lang w:eastAsia="zh-CN"/>
                              </w:rPr>
                              <w:t>或</w:t>
                            </w:r>
                            <w:r>
                              <w:rPr>
                                <w:rFonts w:hint="eastAsia" w:ascii="宋体" w:hAnsi="宋体" w:cs="宋体"/>
                                <w:color w:val="0000FF"/>
                                <w:lang w:val="en-US" w:eastAsia="zh-CN"/>
                              </w:rPr>
                              <w:t>PCI术后</w:t>
                            </w:r>
                            <w:r>
                              <w:rPr>
                                <w:rFonts w:hint="eastAsia" w:ascii="宋体" w:hAnsi="宋体" w:cs="宋体"/>
                              </w:rPr>
                              <w:t>，均可，审批的疾病名称写“冠心病支架植入术后”或“冠心病搭桥术后”。</w:t>
                            </w:r>
                          </w:p>
                        </w:txbxContent>
                      </wps:txbx>
                      <wps:bodyPr upright="1"/>
                    </wps:wsp>
                  </a:graphicData>
                </a:graphic>
              </wp:anchor>
            </w:drawing>
          </mc:Choice>
          <mc:Fallback>
            <w:pict>
              <v:shape id="Quad Arrow 1200" o:spid="_x0000_s1026" o:spt="202" type="#_x0000_t202" style="position:absolute;left:0pt;margin-left:-6.15pt;margin-top:6.75pt;height:54.7pt;width:423.85pt;z-index:251796480;mso-width-relative:page;mso-height-relative:page;" fillcolor="#FFFFFF" filled="t" stroked="t" coordsize="21600,21600" o:gfxdata="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WLD&#10;9dkAAAAKAQAADwAAAAAAAAABACAAAAAiAAAAZHJzL2Rvd25yZXYueG1sUEsBAhQAFAAAAAgAh07i&#10;QCD8Nw/oAQAA7QMAAA4AAAAAAAAAAQAgAAAAKAEAAGRycy9lMm9Eb2MueG1sUEsFBgAAAAAGAAYA&#10;WQEAAIIFAAAAAA==&#10;">
                <v:fill on="t" focussize="0,0"/>
                <v:stroke color="#000000" joinstyle="miter"/>
                <v:imagedata o:title=""/>
                <o:lock v:ext="edit" aspectratio="f"/>
                <v:textbox>
                  <w:txbxContent>
                    <w:p>
                      <w:pPr>
                        <w:numPr>
                          <w:ilvl w:val="0"/>
                          <w:numId w:val="9"/>
                        </w:numPr>
                        <w:ind w:left="0" w:firstLine="420" w:firstLineChars="200"/>
                        <w:rPr>
                          <w:rFonts w:ascii="宋体" w:hAnsi="宋体" w:cs="宋体"/>
                        </w:rPr>
                      </w:pPr>
                      <w:r>
                        <w:rPr>
                          <w:rFonts w:hint="eastAsia" w:ascii="宋体" w:hAnsi="宋体" w:cs="宋体"/>
                        </w:rPr>
                        <w:t>出院小结中有手术内容，可省相关手术记录，若没有提到，需提供手术记录单。</w:t>
                      </w:r>
                    </w:p>
                    <w:p>
                      <w:pPr>
                        <w:numPr>
                          <w:ilvl w:val="0"/>
                          <w:numId w:val="9"/>
                        </w:numPr>
                        <w:ind w:left="0" w:firstLine="420" w:firstLineChars="200"/>
                        <w:rPr>
                          <w:rFonts w:ascii="宋体" w:hAnsi="宋体" w:cs="宋体"/>
                        </w:rPr>
                      </w:pPr>
                      <w:r>
                        <w:rPr>
                          <w:rFonts w:hint="eastAsia" w:ascii="宋体" w:hAnsi="宋体" w:cs="宋体"/>
                        </w:rPr>
                        <w:t>疾病诊断书写出冠心病支架植入术后或冠心病搭桥术后</w:t>
                      </w:r>
                      <w:r>
                        <w:rPr>
                          <w:rFonts w:hint="eastAsia" w:ascii="宋体" w:hAnsi="宋体" w:cs="宋体"/>
                          <w:lang w:eastAsia="zh-CN"/>
                        </w:rPr>
                        <w:t>或</w:t>
                      </w:r>
                      <w:r>
                        <w:rPr>
                          <w:rFonts w:hint="eastAsia" w:ascii="宋体" w:hAnsi="宋体" w:cs="宋体"/>
                          <w:color w:val="0000FF"/>
                          <w:lang w:val="en-US" w:eastAsia="zh-CN"/>
                        </w:rPr>
                        <w:t>PCI术后</w:t>
                      </w:r>
                      <w:r>
                        <w:rPr>
                          <w:rFonts w:hint="eastAsia" w:ascii="宋体" w:hAnsi="宋体" w:cs="宋体"/>
                        </w:rPr>
                        <w:t>，均可，审批的疾病名称写“冠心病支架植入术后”或“冠心病搭桥术后”。</w:t>
                      </w:r>
                    </w:p>
                  </w:txbxContent>
                </v:textbox>
              </v:shape>
            </w:pict>
          </mc:Fallback>
        </mc:AlternateContent>
      </w:r>
    </w:p>
    <w:p>
      <w:pPr>
        <w:jc w:val="left"/>
        <w:rPr>
          <w:rFonts w:ascii="宋体" w:hAnsi="宋体" w:cs="宋体"/>
          <w:b/>
          <w:bCs/>
          <w:szCs w:val="21"/>
        </w:rPr>
      </w:pPr>
    </w:p>
    <w:p>
      <w:pPr>
        <w:jc w:val="left"/>
        <w:rPr>
          <w:rFonts w:ascii="宋体" w:hAnsi="宋体" w:cs="宋体"/>
          <w:b/>
          <w:bCs/>
          <w:szCs w:val="21"/>
        </w:rPr>
      </w:pPr>
    </w:p>
    <w:p>
      <w:pPr>
        <w:jc w:val="left"/>
        <w:rPr>
          <w:rFonts w:ascii="宋体" w:hAnsi="宋体" w:cs="宋体"/>
          <w:b/>
          <w:bCs/>
          <w:szCs w:val="21"/>
        </w:rPr>
      </w:pPr>
    </w:p>
    <w:p>
      <w:pPr>
        <w:jc w:val="left"/>
        <w:rPr>
          <w:rFonts w:ascii="宋体" w:hAnsi="宋体" w:cs="宋体"/>
          <w:b/>
          <w:bCs/>
          <w:szCs w:val="21"/>
        </w:rPr>
      </w:pPr>
    </w:p>
    <w:p>
      <w:pPr>
        <w:jc w:val="left"/>
        <w:rPr>
          <w:rFonts w:ascii="宋体" w:hAnsi="宋体" w:cs="宋体"/>
          <w:b/>
          <w:bCs/>
          <w:szCs w:val="21"/>
        </w:rPr>
      </w:pPr>
    </w:p>
    <w:p>
      <w:pPr>
        <w:rPr>
          <w:rFonts w:ascii="宋体" w:hAnsi="宋体" w:cs="宋体"/>
          <w:b/>
          <w:szCs w:val="21"/>
        </w:rPr>
      </w:pPr>
      <w:r>
        <w:rPr>
          <w:rFonts w:hint="eastAsia" w:ascii="宋体" w:hAnsi="宋体" w:cs="宋体"/>
          <w:b/>
          <w:szCs w:val="21"/>
        </w:rPr>
        <w:t>相关链接：</w:t>
      </w:r>
    </w:p>
    <w:p>
      <w:pPr>
        <w:rPr>
          <w:rFonts w:ascii="宋体" w:hAnsi="宋体" w:cs="宋体"/>
          <w:b/>
          <w:szCs w:val="21"/>
        </w:rPr>
      </w:pPr>
      <w:r>
        <w:rPr>
          <w:rFonts w:hint="eastAsia" w:ascii="宋体" w:hAnsi="宋体" w:cs="宋体"/>
          <w:b/>
          <w:szCs w:val="21"/>
        </w:rPr>
        <w:t>世界卫生组织将冠心病分为5大类</w:t>
      </w:r>
    </w:p>
    <w:p>
      <w:pPr>
        <w:rPr>
          <w:rFonts w:ascii="宋体" w:hAnsi="宋体" w:cs="宋体"/>
          <w:b/>
          <w:szCs w:val="21"/>
        </w:rPr>
      </w:pPr>
      <w:r>
        <w:rPr>
          <w:rFonts w:ascii="宋体" w:hAnsi="宋体" w:eastAsia="宋体" w:cs="宋体"/>
          <w:b/>
          <w:kern w:val="2"/>
          <w:sz w:val="21"/>
          <w:szCs w:val="21"/>
          <w:lang w:val="en-US" w:eastAsia="zh-CN" w:bidi="ar-SA"/>
        </w:rPr>
        <w:drawing>
          <wp:anchor distT="0" distB="0" distL="114300" distR="114300" simplePos="0" relativeHeight="251797504" behindDoc="0" locked="0" layoutInCell="1" allowOverlap="1">
            <wp:simplePos x="0" y="0"/>
            <wp:positionH relativeFrom="column">
              <wp:posOffset>6985</wp:posOffset>
            </wp:positionH>
            <wp:positionV relativeFrom="paragraph">
              <wp:posOffset>30480</wp:posOffset>
            </wp:positionV>
            <wp:extent cx="3269615" cy="1523365"/>
            <wp:effectExtent l="0" t="0" r="0" b="0"/>
            <wp:wrapSquare wrapText="bothSides"/>
            <wp:docPr id="20"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01"/>
                    <pic:cNvPicPr>
                      <a:picLocks noChangeAspect="1"/>
                    </pic:cNvPicPr>
                  </pic:nvPicPr>
                  <pic:blipFill>
                    <a:blip r:embed="rId10">
                      <a:lum/>
                    </a:blip>
                    <a:stretch>
                      <a:fillRect/>
                    </a:stretch>
                  </pic:blipFill>
                  <pic:spPr>
                    <a:xfrm>
                      <a:off x="0" y="0"/>
                      <a:ext cx="3269615" cy="1523365"/>
                    </a:xfrm>
                    <a:prstGeom prst="rect">
                      <a:avLst/>
                    </a:prstGeom>
                    <a:noFill/>
                    <a:ln w="9525">
                      <a:noFill/>
                    </a:ln>
                  </pic:spPr>
                </pic:pic>
              </a:graphicData>
            </a:graphic>
          </wp:anchor>
        </w:drawing>
      </w: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r>
        <w:rPr>
          <w:rFonts w:hint="eastAsia" w:ascii="宋体" w:hAnsi="宋体" w:cs="宋体"/>
          <w:b/>
          <w:szCs w:val="21"/>
        </w:rPr>
        <w:t>临床中冠心病常常分为两大类</w:t>
      </w:r>
    </w:p>
    <w:p>
      <w:pPr>
        <w:rPr>
          <w:rFonts w:ascii="宋体" w:hAnsi="宋体" w:cs="宋体"/>
          <w:b/>
          <w:szCs w:val="21"/>
        </w:rPr>
      </w:pPr>
      <w:r>
        <w:rPr>
          <w:rFonts w:ascii="宋体" w:hAnsi="宋体" w:eastAsia="宋体" w:cs="宋体"/>
          <w:b/>
          <w:kern w:val="2"/>
          <w:sz w:val="21"/>
          <w:szCs w:val="21"/>
          <w:lang w:val="en-US" w:eastAsia="zh-CN" w:bidi="ar-SA"/>
        </w:rPr>
        <w:drawing>
          <wp:anchor distT="0" distB="0" distL="114300" distR="114300" simplePos="0" relativeHeight="251798528" behindDoc="0" locked="0" layoutInCell="1" allowOverlap="1">
            <wp:simplePos x="0" y="0"/>
            <wp:positionH relativeFrom="column">
              <wp:posOffset>57150</wp:posOffset>
            </wp:positionH>
            <wp:positionV relativeFrom="paragraph">
              <wp:posOffset>55880</wp:posOffset>
            </wp:positionV>
            <wp:extent cx="3219450" cy="1849755"/>
            <wp:effectExtent l="0" t="0" r="0" b="0"/>
            <wp:wrapSquare wrapText="bothSides"/>
            <wp:docPr id="21"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02"/>
                    <pic:cNvPicPr>
                      <a:picLocks noChangeAspect="1"/>
                    </pic:cNvPicPr>
                  </pic:nvPicPr>
                  <pic:blipFill>
                    <a:blip r:embed="rId11">
                      <a:lum/>
                    </a:blip>
                    <a:stretch>
                      <a:fillRect/>
                    </a:stretch>
                  </pic:blipFill>
                  <pic:spPr>
                    <a:xfrm>
                      <a:off x="0" y="0"/>
                      <a:ext cx="3219450" cy="1849755"/>
                    </a:xfrm>
                    <a:prstGeom prst="rect">
                      <a:avLst/>
                    </a:prstGeom>
                    <a:noFill/>
                    <a:ln w="9525">
                      <a:noFill/>
                    </a:ln>
                  </pic:spPr>
                </pic:pic>
              </a:graphicData>
            </a:graphic>
          </wp:anchor>
        </w:drawing>
      </w: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r>
        <w:rPr>
          <w:rFonts w:hint="eastAsia" w:ascii="宋体" w:hAnsi="宋体" w:cs="宋体"/>
          <w:b/>
          <w:szCs w:val="21"/>
        </w:rPr>
        <w:t>冠心病血运重建治疗包括：</w:t>
      </w:r>
    </w:p>
    <w:p>
      <w:pPr>
        <w:rPr>
          <w:rFonts w:ascii="宋体" w:hAnsi="宋体" w:cs="宋体"/>
          <w:szCs w:val="21"/>
        </w:rPr>
      </w:pPr>
      <w:r>
        <w:rPr>
          <w:rFonts w:hint="eastAsia" w:ascii="宋体" w:hAnsi="宋体" w:cs="宋体"/>
          <w:szCs w:val="21"/>
        </w:rPr>
        <w:t>经皮冠状动脉介入治疗（PCI）</w:t>
      </w:r>
    </w:p>
    <w:p>
      <w:pPr>
        <w:rPr>
          <w:rFonts w:ascii="宋体" w:hAnsi="宋体" w:cs="宋体"/>
          <w:b/>
          <w:szCs w:val="21"/>
        </w:rPr>
      </w:pPr>
      <w:r>
        <w:rPr>
          <w:rFonts w:hint="eastAsia" w:ascii="宋体" w:hAnsi="宋体" w:cs="宋体"/>
          <w:b/>
          <w:szCs w:val="21"/>
        </w:rPr>
        <w:t>冠状动脉旁路移植术（CABG）</w:t>
      </w:r>
    </w:p>
    <w:p>
      <w:pPr>
        <w:rPr>
          <w:rFonts w:ascii="宋体" w:hAnsi="宋体" w:cs="宋体"/>
          <w:b/>
          <w:szCs w:val="21"/>
        </w:rPr>
      </w:pPr>
    </w:p>
    <w:p>
      <w:pPr>
        <w:rPr>
          <w:rFonts w:ascii="宋体" w:hAnsi="宋体" w:cs="宋体"/>
          <w:szCs w:val="21"/>
        </w:rPr>
      </w:pPr>
      <w:r>
        <w:rPr>
          <w:rFonts w:hint="eastAsia" w:ascii="宋体" w:hAnsi="宋体" w:cs="宋体"/>
          <w:b/>
          <w:szCs w:val="21"/>
        </w:rPr>
        <w:t>经皮冠状动脉介入治疗( percutaneous coronary intervention，PCI)技术分类</w:t>
      </w:r>
      <w:r>
        <w:rPr>
          <w:rFonts w:hint="eastAsia" w:ascii="宋体" w:hAnsi="宋体" w:cs="宋体"/>
          <w:b/>
          <w:szCs w:val="21"/>
        </w:rPr>
        <w:br w:type="textWrapping"/>
      </w:r>
      <w:r>
        <w:rPr>
          <w:rFonts w:hint="eastAsia" w:ascii="宋体" w:hAnsi="宋体" w:cs="宋体"/>
          <w:szCs w:val="21"/>
        </w:rPr>
        <w:t>1.经皮冠状动脉球囊血管成形术（percutaneous coronary angioplasty，PTCA）</w:t>
      </w:r>
    </w:p>
    <w:p>
      <w:pPr>
        <w:rPr>
          <w:rFonts w:ascii="宋体" w:hAnsi="宋体" w:cs="宋体"/>
          <w:b/>
          <w:szCs w:val="21"/>
        </w:rPr>
      </w:pPr>
      <w:r>
        <w:rPr>
          <w:rFonts w:hint="eastAsia" w:ascii="宋体" w:hAnsi="宋体" w:cs="宋体"/>
          <w:b/>
          <w:szCs w:val="21"/>
        </w:rPr>
        <w:t>2.冠状动脉支架植入术（STENT）</w:t>
      </w:r>
    </w:p>
    <w:p>
      <w:pPr>
        <w:rPr>
          <w:rFonts w:ascii="宋体" w:hAnsi="宋体" w:cs="宋体"/>
          <w:szCs w:val="21"/>
        </w:rPr>
      </w:pPr>
      <w:r>
        <w:rPr>
          <w:rFonts w:hint="eastAsia" w:ascii="宋体" w:hAnsi="宋体" w:cs="宋体"/>
          <w:szCs w:val="21"/>
        </w:rPr>
        <w:t>3.冠状动脉旋磨术</w:t>
      </w:r>
    </w:p>
    <w:p>
      <w:pPr>
        <w:rPr>
          <w:rFonts w:ascii="宋体" w:hAnsi="宋体" w:cs="宋体"/>
          <w:szCs w:val="21"/>
        </w:rPr>
      </w:pPr>
      <w:r>
        <w:rPr>
          <w:rFonts w:hint="eastAsia" w:ascii="宋体" w:hAnsi="宋体" w:cs="宋体"/>
          <w:szCs w:val="21"/>
        </w:rPr>
        <w:t>4.冠脉内血栓抽吸</w:t>
      </w:r>
    </w:p>
    <w:p>
      <w:pPr>
        <w:rPr>
          <w:rFonts w:ascii="宋体" w:hAnsi="宋体" w:cs="宋体"/>
          <w:szCs w:val="21"/>
        </w:rPr>
      </w:pPr>
      <w:r>
        <w:rPr>
          <w:rFonts w:hint="eastAsia" w:ascii="宋体" w:hAnsi="宋体" w:cs="宋体"/>
          <w:szCs w:val="21"/>
        </w:rPr>
        <w:t>5.切割球囊成行术（CBA）</w:t>
      </w:r>
    </w:p>
    <w:p>
      <w:pPr>
        <w:rPr>
          <w:rFonts w:ascii="宋体" w:hAnsi="宋体" w:cs="宋体"/>
          <w:szCs w:val="21"/>
        </w:rPr>
      </w:pPr>
      <w:r>
        <w:rPr>
          <w:rFonts w:hint="eastAsia" w:ascii="宋体" w:hAnsi="宋体" w:cs="宋体"/>
          <w:szCs w:val="21"/>
        </w:rPr>
        <w:t>6.其他：准分子激光成形术、冠脉内放射治疗等。</w:t>
      </w:r>
    </w:p>
    <w:p>
      <w:pPr>
        <w:rPr>
          <w:rFonts w:ascii="宋体" w:hAnsi="宋体" w:cs="宋体"/>
          <w:szCs w:val="21"/>
        </w:rPr>
      </w:pPr>
    </w:p>
    <w:p>
      <w:pPr>
        <w:rPr>
          <w:rFonts w:ascii="宋体" w:hAnsi="宋体" w:cs="宋体"/>
          <w:szCs w:val="21"/>
        </w:rPr>
      </w:pPr>
      <w:r>
        <w:rPr>
          <w:rFonts w:hint="eastAsia" w:ascii="宋体" w:hAnsi="宋体" w:cs="宋体"/>
          <w:szCs w:val="21"/>
        </w:rPr>
        <w:t>注：冠心病血运重建术后的审批范围为</w:t>
      </w:r>
      <w:r>
        <w:rPr>
          <w:rFonts w:hint="eastAsia" w:ascii="宋体" w:hAnsi="宋体" w:cs="宋体"/>
          <w:b/>
          <w:szCs w:val="21"/>
          <w:u w:val="single"/>
        </w:rPr>
        <w:t>冠状动脉旁路移植术（CABG）</w:t>
      </w:r>
      <w:r>
        <w:rPr>
          <w:rFonts w:hint="eastAsia" w:ascii="宋体" w:hAnsi="宋体" w:cs="宋体"/>
          <w:szCs w:val="21"/>
        </w:rPr>
        <w:t>和</w:t>
      </w:r>
      <w:r>
        <w:rPr>
          <w:rFonts w:hint="eastAsia" w:ascii="宋体" w:hAnsi="宋体" w:cs="宋体"/>
          <w:b/>
          <w:szCs w:val="21"/>
          <w:u w:val="single"/>
        </w:rPr>
        <w:t>冠状动脉支架植入术（STENT）</w:t>
      </w:r>
      <w:r>
        <w:rPr>
          <w:rFonts w:hint="eastAsia" w:ascii="宋体" w:hAnsi="宋体" w:cs="宋体"/>
          <w:szCs w:val="21"/>
        </w:rPr>
        <w:t>。</w:t>
      </w:r>
    </w:p>
    <w:p>
      <w:pPr>
        <w:rPr>
          <w:rFonts w:ascii="宋体" w:hAnsi="宋体" w:cs="宋体"/>
          <w:szCs w:val="21"/>
        </w:rPr>
      </w:pPr>
    </w:p>
    <w:p>
      <w:pPr>
        <w:rPr>
          <w:rFonts w:ascii="宋体" w:hAnsi="宋体" w:cs="宋体"/>
          <w:szCs w:val="21"/>
        </w:rPr>
      </w:pPr>
    </w:p>
    <w:p>
      <w:pPr>
        <w:rPr>
          <w:rFonts w:ascii="宋体" w:hAnsi="宋体" w:cs="宋体"/>
          <w:b/>
          <w:szCs w:val="21"/>
        </w:rPr>
      </w:pPr>
      <w:r>
        <w:rPr>
          <w:rFonts w:hint="eastAsia" w:ascii="宋体" w:hAnsi="宋体" w:cs="宋体"/>
          <w:b/>
          <w:szCs w:val="21"/>
        </w:rPr>
        <w:t xml:space="preserve">心脏支架使用的物料有不锈钢，镍钛合金或钴铬合金，而不同支架又有不同的构造：    </w:t>
      </w:r>
    </w:p>
    <w:p>
      <w:pPr>
        <w:rPr>
          <w:rFonts w:ascii="宋体" w:hAnsi="宋体" w:cs="宋体"/>
          <w:szCs w:val="21"/>
        </w:rPr>
      </w:pPr>
      <w:r>
        <w:rPr>
          <w:rFonts w:hint="eastAsia" w:ascii="宋体" w:hAnsi="宋体" w:cs="宋体"/>
          <w:szCs w:val="21"/>
        </w:rPr>
        <w:t>1.传统支架（bare-metal stent），单纯的金属网状管。（裸支架）</w:t>
      </w:r>
    </w:p>
    <w:p>
      <w:pPr>
        <w:rPr>
          <w:rFonts w:ascii="宋体" w:hAnsi="宋体" w:cs="宋体"/>
          <w:szCs w:val="21"/>
        </w:rPr>
      </w:pPr>
      <w:r>
        <w:rPr>
          <w:rFonts w:hint="eastAsia" w:ascii="宋体" w:hAnsi="宋体" w:cs="宋体"/>
          <w:szCs w:val="21"/>
        </w:rPr>
        <w:t xml:space="preserve">2.涂药支架（drug-eluting stent），以药物抑制管道细胞增殖防止血栓的形成而展开支架。（药物支架）   </w:t>
      </w:r>
    </w:p>
    <w:p>
      <w:pPr>
        <w:rPr>
          <w:rFonts w:ascii="宋体" w:hAnsi="宋体" w:cs="宋体"/>
          <w:szCs w:val="21"/>
        </w:rPr>
      </w:pPr>
      <w:r>
        <w:rPr>
          <w:rFonts w:hint="eastAsia" w:ascii="宋体" w:hAnsi="宋体" w:cs="宋体"/>
          <w:szCs w:val="21"/>
        </w:rPr>
        <w:t>3.覆盖式支架。（覆膜支架是指金属裸支架内面或外面部分或完全覆盖膜性材料的人工体内移植物。）</w:t>
      </w:r>
    </w:p>
    <w:p>
      <w:pPr>
        <w:rPr>
          <w:rFonts w:ascii="宋体" w:hAnsi="宋体" w:cs="宋体"/>
          <w:szCs w:val="21"/>
        </w:rPr>
      </w:pPr>
    </w:p>
    <w:p>
      <w:pPr>
        <w:rPr>
          <w:rFonts w:ascii="宋体" w:hAnsi="宋体" w:cs="宋体"/>
          <w:b/>
          <w:szCs w:val="21"/>
        </w:rPr>
      </w:pPr>
      <w:r>
        <w:rPr>
          <w:rFonts w:hint="eastAsia" w:ascii="宋体" w:hAnsi="宋体" w:cs="宋体"/>
          <w:b/>
          <w:szCs w:val="21"/>
        </w:rPr>
        <w:t>心脏搭桥手术，冠状动脉旁路移植术（也称作冠脉搭桥术）：</w:t>
      </w:r>
    </w:p>
    <w:p>
      <w:pPr>
        <w:rPr>
          <w:rFonts w:ascii="宋体" w:hAnsi="宋体" w:cs="宋体"/>
          <w:szCs w:val="21"/>
        </w:rPr>
      </w:pPr>
      <w:r>
        <w:rPr>
          <w:rFonts w:hint="eastAsia" w:ascii="宋体" w:hAnsi="宋体" w:cs="宋体"/>
          <w:szCs w:val="21"/>
        </w:rPr>
        <w:t>手术可在心脏停搏下进行，需使用体外循环，也就是传统的冠状动脉搭桥术（CABG）。</w:t>
      </w:r>
    </w:p>
    <w:p>
      <w:pPr>
        <w:rPr>
          <w:rFonts w:ascii="宋体" w:hAnsi="宋体" w:cs="宋体"/>
          <w:szCs w:val="21"/>
        </w:rPr>
      </w:pPr>
      <w:r>
        <w:rPr>
          <w:rFonts w:hint="eastAsia" w:ascii="宋体" w:hAnsi="宋体" w:cs="宋体"/>
          <w:szCs w:val="21"/>
        </w:rPr>
        <w:t>也可在跳动的心脏上进行，即“非体外循环下”的冠状动脉搭桥术（OPCAB或OPCABG）。</w:t>
      </w:r>
    </w:p>
    <w:p>
      <w:pPr>
        <w:rPr>
          <w:rFonts w:ascii="宋体" w:hAnsi="宋体" w:cs="宋体"/>
          <w:szCs w:val="21"/>
        </w:rPr>
      </w:pPr>
    </w:p>
    <w:p>
      <w:pPr>
        <w:rPr>
          <w:rFonts w:ascii="宋体" w:hAnsi="宋体" w:cs="宋体"/>
          <w:szCs w:val="21"/>
        </w:rPr>
      </w:pPr>
    </w:p>
    <w:p>
      <w:pPr>
        <w:pStyle w:val="2"/>
        <w:numPr>
          <w:ilvl w:val="0"/>
          <w:numId w:val="10"/>
        </w:numPr>
        <w:rPr>
          <w:rFonts w:hint="eastAsia"/>
          <w:color w:val="auto"/>
        </w:rPr>
      </w:pPr>
      <w:bookmarkStart w:id="20" w:name="_Toc21998"/>
      <w:r>
        <w:rPr>
          <w:rFonts w:hint="eastAsia"/>
          <w:color w:val="auto"/>
        </w:rPr>
        <w:t>苯丙酮尿症</w:t>
      </w:r>
    </w:p>
    <w:p>
      <w:pPr>
        <w:pStyle w:val="2"/>
        <w:numPr>
          <w:ilvl w:val="0"/>
          <w:numId w:val="10"/>
        </w:numPr>
        <w:rPr>
          <w:color w:val="auto"/>
        </w:rPr>
      </w:pPr>
      <w:r>
        <w:rPr>
          <w:rFonts w:hint="eastAsia"/>
          <w:color w:val="auto"/>
        </w:rPr>
        <w:t>儿童孤独症，脑瘫、截瘫、偏瘫及聋儿语训、自闭症儿童康复训练等残疾人康复项目</w:t>
      </w:r>
      <w:bookmarkEnd w:id="20"/>
    </w:p>
    <w:p>
      <w:pPr>
        <w:tabs>
          <w:tab w:val="left" w:pos="360"/>
        </w:tabs>
        <w:jc w:val="left"/>
        <w:rPr>
          <w:rFonts w:ascii="宋体" w:hAnsi="宋体" w:cs="宋体"/>
          <w:b/>
          <w:bCs/>
          <w:szCs w:val="21"/>
        </w:rPr>
      </w:pPr>
      <w:r>
        <w:rPr>
          <w:rFonts w:ascii="宋体" w:hAnsi="宋体" w:eastAsia="宋体" w:cs="宋体"/>
          <w:b/>
          <w:bCs/>
          <w:kern w:val="2"/>
          <w:sz w:val="21"/>
          <w:szCs w:val="21"/>
          <w:lang w:val="en-US" w:eastAsia="zh-CN" w:bidi="ar-SA"/>
        </w:rPr>
        <mc:AlternateContent>
          <mc:Choice Requires="wps">
            <w:drawing>
              <wp:anchor distT="0" distB="0" distL="114300" distR="114300" simplePos="0" relativeHeight="251799552" behindDoc="0" locked="0" layoutInCell="1" allowOverlap="1">
                <wp:simplePos x="0" y="0"/>
                <wp:positionH relativeFrom="column">
                  <wp:posOffset>-52070</wp:posOffset>
                </wp:positionH>
                <wp:positionV relativeFrom="paragraph">
                  <wp:posOffset>89535</wp:posOffset>
                </wp:positionV>
                <wp:extent cx="5382895" cy="476250"/>
                <wp:effectExtent l="4445" t="4445" r="22860" b="14605"/>
                <wp:wrapNone/>
                <wp:docPr id="22" name="Quad Arrow 1203"/>
                <wp:cNvGraphicFramePr/>
                <a:graphic xmlns:a="http://schemas.openxmlformats.org/drawingml/2006/main">
                  <a:graphicData uri="http://schemas.microsoft.com/office/word/2010/wordprocessingShape">
                    <wps:wsp>
                      <wps:cNvSpPr txBox="1"/>
                      <wps:spPr>
                        <a:xfrm>
                          <a:off x="0" y="0"/>
                          <a:ext cx="538289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ascii="宋体" w:hAnsi="宋体" w:cs="宋体"/>
                              </w:rPr>
                            </w:pPr>
                            <w:r>
                              <w:rPr>
                                <w:rFonts w:hint="eastAsia" w:ascii="宋体" w:hAnsi="宋体" w:cs="宋体"/>
                              </w:rPr>
                              <w:t>审批标准需提供出院小结或病历，诊断明确。（没曾住院，没有出院小结的需提供门诊病案记录：病历。若有相关化验单、报告单也可一并收入。）</w:t>
                            </w:r>
                          </w:p>
                        </w:txbxContent>
                      </wps:txbx>
                      <wps:bodyPr upright="1"/>
                    </wps:wsp>
                  </a:graphicData>
                </a:graphic>
              </wp:anchor>
            </w:drawing>
          </mc:Choice>
          <mc:Fallback>
            <w:pict>
              <v:shape id="Quad Arrow 1203" o:spid="_x0000_s1026" o:spt="202" type="#_x0000_t202" style="position:absolute;left:0pt;margin-left:-4.1pt;margin-top:7.05pt;height:37.5pt;width:423.85pt;z-index:251799552;mso-width-relative:page;mso-height-relative:page;" fillcolor="#FFFFFF" filled="t" stroked="t" coordsize="21600,21600" o:gfxdata="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5i&#10;7dDYAAAACAEAAA8AAAAAAAAAAQAgAAAAIgAAAGRycy9kb3ducmV2LnhtbFBLAQIUABQAAAAIAIdO&#10;4kDxudZu6gEAAO0DAAAOAAAAAAAAAAEAIAAAACcBAABkcnMvZTJvRG9jLnhtbFBLBQYAAAAABgAG&#10;AFkBAACDBQAAAAA=&#10;">
                <v:fill on="t" focussize="0,0"/>
                <v:stroke color="#000000" joinstyle="miter"/>
                <v:imagedata o:title=""/>
                <o:lock v:ext="edit" aspectratio="f"/>
                <v:textbox>
                  <w:txbxContent>
                    <w:p>
                      <w:pPr>
                        <w:ind w:firstLine="420" w:firstLineChars="200"/>
                        <w:rPr>
                          <w:rFonts w:ascii="宋体" w:hAnsi="宋体" w:cs="宋体"/>
                        </w:rPr>
                      </w:pPr>
                      <w:r>
                        <w:rPr>
                          <w:rFonts w:hint="eastAsia" w:ascii="宋体" w:hAnsi="宋体" w:cs="宋体"/>
                        </w:rPr>
                        <w:t>审批标准需提供出院小结或病历，诊断明确。（没曾住院，没有出院小结的需提供门诊病案记录：病历。若有相关化验单、报告单也可一并收入。）</w:t>
                      </w:r>
                    </w:p>
                  </w:txbxContent>
                </v:textbox>
              </v:shape>
            </w:pict>
          </mc:Fallback>
        </mc:AlternateContent>
      </w:r>
    </w:p>
    <w:p>
      <w:pPr>
        <w:tabs>
          <w:tab w:val="left" w:pos="360"/>
        </w:tabs>
        <w:jc w:val="left"/>
        <w:rPr>
          <w:rFonts w:ascii="宋体" w:hAnsi="宋体" w:cs="宋体"/>
          <w:b/>
          <w:bCs/>
          <w:szCs w:val="21"/>
        </w:rPr>
      </w:pPr>
    </w:p>
    <w:p>
      <w:pPr>
        <w:tabs>
          <w:tab w:val="left" w:pos="360"/>
        </w:tabs>
        <w:jc w:val="left"/>
        <w:rPr>
          <w:rFonts w:ascii="宋体" w:hAnsi="宋体" w:cs="宋体"/>
          <w:b/>
          <w:bCs/>
          <w:szCs w:val="21"/>
        </w:rPr>
      </w:pPr>
    </w:p>
    <w:p>
      <w:pPr>
        <w:jc w:val="left"/>
        <w:rPr>
          <w:rFonts w:ascii="宋体" w:hAnsi="宋体" w:cs="宋体"/>
          <w:b/>
          <w:bCs/>
          <w:szCs w:val="21"/>
        </w:rPr>
      </w:pPr>
    </w:p>
    <w:p>
      <w:pPr>
        <w:pStyle w:val="2"/>
        <w:rPr>
          <w:color w:val="auto"/>
        </w:rPr>
      </w:pPr>
      <w:bookmarkStart w:id="21" w:name="_Toc22870"/>
      <w:r>
        <w:rPr>
          <w:rFonts w:hint="eastAsia"/>
          <w:color w:val="auto"/>
        </w:rPr>
        <w:t>（十</w:t>
      </w:r>
      <w:r>
        <w:rPr>
          <w:rFonts w:hint="eastAsia"/>
          <w:color w:val="auto"/>
          <w:lang w:eastAsia="zh-CN"/>
        </w:rPr>
        <w:t>九</w:t>
      </w:r>
      <w:r>
        <w:rPr>
          <w:rFonts w:hint="eastAsia"/>
          <w:color w:val="auto"/>
        </w:rPr>
        <w:t>）支气管哮喘</w:t>
      </w:r>
      <w:bookmarkEnd w:id="21"/>
    </w:p>
    <w:p>
      <w:pPr>
        <w:ind w:firstLine="420" w:firstLineChars="200"/>
        <w:jc w:val="left"/>
        <w:rPr>
          <w:rFonts w:ascii="宋体" w:hAnsi="宋体" w:cs="宋体"/>
          <w:bCs/>
          <w:szCs w:val="21"/>
        </w:rPr>
      </w:pPr>
      <w:r>
        <w:rPr>
          <w:rFonts w:hint="eastAsia" w:ascii="宋体" w:hAnsi="宋体" w:cs="宋体"/>
          <w:bCs/>
          <w:szCs w:val="21"/>
        </w:rPr>
        <w:t>1.诊断标准：</w:t>
      </w:r>
    </w:p>
    <w:p>
      <w:pPr>
        <w:ind w:firstLine="420" w:firstLineChars="200"/>
        <w:jc w:val="left"/>
        <w:rPr>
          <w:rFonts w:ascii="宋体" w:hAnsi="宋体" w:cs="宋体"/>
          <w:bCs/>
          <w:szCs w:val="21"/>
        </w:rPr>
      </w:pPr>
      <w:r>
        <w:rPr>
          <w:rFonts w:hint="eastAsia" w:ascii="宋体" w:hAnsi="宋体" w:cs="宋体"/>
          <w:bCs/>
          <w:szCs w:val="21"/>
        </w:rPr>
        <w:t>（1）出现呼吸困难、胸闷、常夜间加重、发作时间闻哮鸣音等反复发作临床表现，经确诊支气管哮喘或反复发作慢性咳嗽，经确诊为咳嗽变异性哮喘（必要条件）。</w:t>
      </w:r>
    </w:p>
    <w:p>
      <w:pPr>
        <w:ind w:firstLine="420" w:firstLineChars="200"/>
        <w:jc w:val="left"/>
        <w:rPr>
          <w:rFonts w:ascii="宋体" w:hAnsi="宋体" w:cs="宋体"/>
          <w:bCs/>
          <w:szCs w:val="21"/>
        </w:rPr>
      </w:pPr>
      <w:r>
        <w:rPr>
          <w:rFonts w:hint="eastAsia" w:ascii="宋体" w:hAnsi="宋体" w:cs="宋体"/>
          <w:bCs/>
          <w:szCs w:val="21"/>
        </w:rPr>
        <w:t>（2）肺功能：吸入舒张剂后肺功能测定FEV1/FVC比值降低&lt;70%，并且支气管扩张试验阳性（有可逆性气流阻塞）（参考条件）。</w:t>
      </w:r>
    </w:p>
    <w:p>
      <w:pPr>
        <w:ind w:firstLine="420" w:firstLineChars="200"/>
        <w:jc w:val="left"/>
        <w:rPr>
          <w:rFonts w:ascii="宋体" w:hAnsi="宋体" w:cs="宋体"/>
          <w:bCs/>
          <w:szCs w:val="21"/>
        </w:rPr>
      </w:pPr>
      <w:r>
        <w:rPr>
          <w:rFonts w:hint="eastAsia" w:ascii="宋体" w:hAnsi="宋体" w:cs="宋体"/>
          <w:bCs/>
          <w:szCs w:val="21"/>
        </w:rPr>
        <w:t>（3）气道反应性测定：PC20&lt;8mg/ml（参考条件）。</w:t>
      </w:r>
    </w:p>
    <w:p>
      <w:pPr>
        <w:ind w:firstLine="420" w:firstLineChars="200"/>
        <w:jc w:val="left"/>
        <w:rPr>
          <w:rFonts w:ascii="宋体" w:hAnsi="宋体" w:cs="宋体"/>
          <w:bCs/>
          <w:szCs w:val="21"/>
        </w:rPr>
      </w:pPr>
      <w:r>
        <w:rPr>
          <w:rFonts w:hint="eastAsia" w:ascii="宋体" w:hAnsi="宋体" w:cs="宋体"/>
          <w:bCs/>
          <w:szCs w:val="21"/>
        </w:rPr>
        <w:t>（4）行FeNO＞35%以上（参考条件）。</w:t>
      </w:r>
    </w:p>
    <w:p>
      <w:pPr>
        <w:ind w:firstLine="420" w:firstLineChars="200"/>
        <w:jc w:val="left"/>
        <w:rPr>
          <w:rFonts w:ascii="宋体" w:hAnsi="宋体" w:cs="宋体"/>
          <w:bCs/>
          <w:szCs w:val="21"/>
        </w:rPr>
      </w:pPr>
      <w:r>
        <w:rPr>
          <w:rFonts w:hint="eastAsia" w:ascii="宋体" w:hAnsi="宋体" w:cs="宋体"/>
          <w:bCs/>
          <w:szCs w:val="21"/>
        </w:rPr>
        <w:t>——准入标准：必要条件一条+参考条件一条</w:t>
      </w:r>
    </w:p>
    <w:p>
      <w:pPr>
        <w:ind w:firstLine="420" w:firstLineChars="200"/>
        <w:jc w:val="left"/>
        <w:rPr>
          <w:rFonts w:ascii="宋体" w:hAnsi="宋体" w:cs="宋体"/>
          <w:bCs/>
          <w:szCs w:val="21"/>
        </w:rPr>
      </w:pPr>
      <w:r>
        <w:rPr>
          <w:rFonts w:hint="eastAsia" w:ascii="宋体" w:hAnsi="宋体" w:cs="宋体"/>
          <w:bCs/>
          <w:szCs w:val="21"/>
        </w:rPr>
        <w:t>2.治疗范围：</w:t>
      </w:r>
    </w:p>
    <w:p>
      <w:pPr>
        <w:ind w:firstLine="420" w:firstLineChars="200"/>
        <w:jc w:val="left"/>
        <w:rPr>
          <w:rFonts w:ascii="宋体" w:hAnsi="宋体" w:cs="宋体"/>
          <w:bCs/>
          <w:szCs w:val="21"/>
        </w:rPr>
      </w:pPr>
      <w:r>
        <w:rPr>
          <w:rFonts w:hint="eastAsia" w:ascii="宋体" w:hAnsi="宋体" w:cs="宋体"/>
          <w:bCs/>
          <w:szCs w:val="21"/>
        </w:rPr>
        <w:t>（1）平喘药。</w:t>
      </w:r>
    </w:p>
    <w:p>
      <w:pPr>
        <w:ind w:firstLine="420" w:firstLineChars="200"/>
        <w:jc w:val="left"/>
        <w:rPr>
          <w:rFonts w:ascii="宋体" w:hAnsi="宋体" w:cs="宋体"/>
          <w:bCs/>
          <w:szCs w:val="21"/>
        </w:rPr>
      </w:pPr>
      <w:r>
        <w:rPr>
          <w:rFonts w:hint="eastAsia" w:ascii="宋体" w:hAnsi="宋体" w:cs="宋体"/>
          <w:bCs/>
          <w:szCs w:val="21"/>
        </w:rPr>
        <w:t>（2）肾上腺皮质激素。</w:t>
      </w:r>
    </w:p>
    <w:p>
      <w:pPr>
        <w:ind w:firstLine="420" w:firstLineChars="200"/>
        <w:jc w:val="left"/>
        <w:rPr>
          <w:rFonts w:ascii="宋体" w:hAnsi="宋体" w:cs="宋体"/>
          <w:bCs/>
          <w:szCs w:val="21"/>
        </w:rPr>
      </w:pPr>
      <w:r>
        <w:rPr>
          <w:rFonts w:hint="eastAsia" w:ascii="宋体" w:hAnsi="宋体" w:cs="宋体"/>
          <w:bCs/>
          <w:szCs w:val="21"/>
        </w:rPr>
        <w:t>（3）祛痰药。</w:t>
      </w:r>
    </w:p>
    <w:p>
      <w:pPr>
        <w:ind w:firstLine="420" w:firstLineChars="200"/>
        <w:jc w:val="left"/>
        <w:rPr>
          <w:rFonts w:ascii="宋体" w:hAnsi="宋体" w:cs="宋体"/>
          <w:bCs/>
          <w:szCs w:val="21"/>
        </w:rPr>
      </w:pPr>
      <w:r>
        <w:rPr>
          <w:rFonts w:hint="eastAsia" w:ascii="宋体" w:hAnsi="宋体" w:cs="宋体"/>
          <w:bCs/>
          <w:szCs w:val="21"/>
        </w:rPr>
        <w:t>（4）镇咳药。</w:t>
      </w:r>
    </w:p>
    <w:p>
      <w:pPr>
        <w:ind w:firstLine="420" w:firstLineChars="200"/>
        <w:jc w:val="left"/>
        <w:rPr>
          <w:rFonts w:ascii="宋体" w:hAnsi="宋体" w:cs="宋体"/>
          <w:bCs/>
          <w:szCs w:val="21"/>
        </w:rPr>
      </w:pPr>
      <w:r>
        <w:rPr>
          <w:rFonts w:hint="eastAsia" w:ascii="宋体" w:hAnsi="宋体" w:cs="宋体"/>
          <w:bCs/>
          <w:szCs w:val="21"/>
        </w:rPr>
        <w:t>（5）抗感染治疗（限呼吸系统感染）。</w:t>
      </w:r>
    </w:p>
    <w:p>
      <w:pPr>
        <w:ind w:firstLine="420" w:firstLineChars="200"/>
        <w:jc w:val="left"/>
        <w:rPr>
          <w:rFonts w:ascii="宋体" w:hAnsi="宋体" w:cs="宋体"/>
          <w:bCs/>
          <w:szCs w:val="21"/>
        </w:rPr>
      </w:pPr>
      <w:r>
        <w:rPr>
          <w:rFonts w:hint="eastAsia" w:ascii="宋体" w:hAnsi="宋体" w:cs="宋体"/>
          <w:bCs/>
          <w:szCs w:val="21"/>
        </w:rPr>
        <w:t xml:space="preserve">3.检验： </w:t>
      </w:r>
    </w:p>
    <w:p>
      <w:pPr>
        <w:ind w:firstLine="420" w:firstLineChars="200"/>
        <w:jc w:val="left"/>
        <w:rPr>
          <w:rFonts w:hint="eastAsia" w:ascii="宋体" w:hAnsi="宋体" w:cs="宋体"/>
          <w:bCs/>
          <w:szCs w:val="21"/>
        </w:rPr>
      </w:pPr>
      <w:r>
        <w:rPr>
          <w:rFonts w:hint="eastAsia" w:ascii="宋体" w:hAnsi="宋体" w:cs="宋体"/>
          <w:bCs/>
          <w:szCs w:val="21"/>
        </w:rPr>
        <w:t>X线胸片（次/3月）、肺功能检查（次/3月）、血常规（次/1-2月）、血气分析（次/1-2月）、特异性变异原检测（IgE）（次/1-2月）。</w:t>
      </w:r>
    </w:p>
    <w:p>
      <w:pPr>
        <w:ind w:firstLine="420" w:firstLineChars="200"/>
        <w:jc w:val="left"/>
        <w:rPr>
          <w:rFonts w:hint="eastAsia" w:ascii="宋体" w:hAnsi="宋体" w:cs="宋体"/>
          <w:bCs/>
          <w:szCs w:val="21"/>
        </w:rPr>
      </w:pPr>
    </w:p>
    <w:p>
      <w:pPr>
        <w:pStyle w:val="2"/>
        <w:rPr>
          <w:color w:val="auto"/>
        </w:rPr>
      </w:pPr>
      <w:bookmarkStart w:id="22" w:name="_Toc18402"/>
      <w:r>
        <w:rPr>
          <w:rFonts w:hint="eastAsia"/>
          <w:color w:val="auto"/>
        </w:rPr>
        <w:t>（</w:t>
      </w:r>
      <w:r>
        <w:rPr>
          <w:rFonts w:hint="eastAsia"/>
          <w:color w:val="auto"/>
          <w:lang w:eastAsia="zh-CN"/>
        </w:rPr>
        <w:t>二十</w:t>
      </w:r>
      <w:r>
        <w:rPr>
          <w:rFonts w:hint="eastAsia"/>
          <w:color w:val="auto"/>
        </w:rPr>
        <w:t>）慢性阻塞性肺疾病</w:t>
      </w:r>
      <w:bookmarkEnd w:id="22"/>
    </w:p>
    <w:p>
      <w:pPr>
        <w:ind w:firstLine="420" w:firstLineChars="200"/>
        <w:jc w:val="left"/>
        <w:rPr>
          <w:rFonts w:ascii="宋体" w:hAnsi="宋体" w:cs="宋体"/>
          <w:bCs/>
          <w:szCs w:val="21"/>
        </w:rPr>
      </w:pPr>
      <w:r>
        <w:rPr>
          <w:rFonts w:hint="eastAsia" w:ascii="宋体" w:hAnsi="宋体" w:cs="宋体"/>
          <w:bCs/>
          <w:szCs w:val="21"/>
        </w:rPr>
        <w:t>1.诊断标准：</w:t>
      </w:r>
    </w:p>
    <w:p>
      <w:pPr>
        <w:ind w:firstLine="420" w:firstLineChars="200"/>
        <w:jc w:val="left"/>
        <w:rPr>
          <w:rFonts w:ascii="宋体" w:hAnsi="宋体" w:cs="宋体"/>
          <w:bCs/>
          <w:szCs w:val="21"/>
        </w:rPr>
      </w:pPr>
      <w:r>
        <w:rPr>
          <w:rFonts w:hint="eastAsia" w:ascii="宋体" w:hAnsi="宋体" w:cs="宋体"/>
          <w:bCs/>
          <w:szCs w:val="21"/>
        </w:rPr>
        <w:t>（1）有慢性咳嗽、咳痰和(或)呼吸困难及危险因素接触史超过两年,每年持续超过三个月，不完全可逆的气流受限，经确诊为慢性阻塞性肺疾病（必要条件）。</w:t>
      </w:r>
    </w:p>
    <w:p>
      <w:pPr>
        <w:ind w:firstLine="420" w:firstLineChars="200"/>
        <w:jc w:val="left"/>
        <w:rPr>
          <w:rFonts w:ascii="宋体" w:hAnsi="宋体" w:cs="宋体"/>
          <w:bCs/>
          <w:szCs w:val="21"/>
        </w:rPr>
      </w:pPr>
      <w:r>
        <w:rPr>
          <w:rFonts w:hint="eastAsia" w:ascii="宋体" w:hAnsi="宋体" w:cs="宋体"/>
          <w:bCs/>
          <w:szCs w:val="21"/>
        </w:rPr>
        <w:t>（2）虽然没有长期的慢性咳嗽、咳痰和(或)呼吸困难病史，但肺功能检查中吸入支气管舒张药后FEVl/FVC%&lt;70%，肺部影像学检查：符合慢性阻塞性肺疾病的影像学表现，并除外其他心肺疾病，经确诊为慢性阻塞性肺疾病（必要条件）。</w:t>
      </w:r>
    </w:p>
    <w:p>
      <w:pPr>
        <w:ind w:firstLine="420" w:firstLineChars="200"/>
        <w:jc w:val="left"/>
        <w:rPr>
          <w:rFonts w:ascii="宋体" w:hAnsi="宋体" w:cs="宋体"/>
          <w:bCs/>
          <w:szCs w:val="21"/>
        </w:rPr>
      </w:pPr>
      <w:r>
        <w:rPr>
          <w:rFonts w:hint="eastAsia" w:ascii="宋体" w:hAnsi="宋体" w:cs="宋体"/>
          <w:bCs/>
          <w:szCs w:val="21"/>
        </w:rPr>
        <w:t>（3）肺功能检查中吸入支气管舒张药后FEVl/FVC%&lt;70%（参考条件）。</w:t>
      </w:r>
    </w:p>
    <w:p>
      <w:pPr>
        <w:ind w:firstLine="420" w:firstLineChars="200"/>
        <w:jc w:val="left"/>
        <w:rPr>
          <w:rFonts w:ascii="宋体" w:hAnsi="宋体" w:cs="宋体"/>
          <w:bCs/>
          <w:szCs w:val="21"/>
        </w:rPr>
      </w:pPr>
      <w:r>
        <w:rPr>
          <w:rFonts w:hint="eastAsia" w:ascii="宋体" w:hAnsi="宋体" w:cs="宋体"/>
          <w:bCs/>
          <w:szCs w:val="21"/>
        </w:rPr>
        <w:t>（4）肺部影像学检查：符合慢性阻塞性肺疾病的影像学表现（参考条件）。</w:t>
      </w:r>
    </w:p>
    <w:p>
      <w:pPr>
        <w:ind w:firstLine="420" w:firstLineChars="200"/>
        <w:jc w:val="left"/>
        <w:rPr>
          <w:rFonts w:ascii="宋体" w:hAnsi="宋体" w:cs="宋体"/>
          <w:bCs/>
          <w:szCs w:val="21"/>
        </w:rPr>
      </w:pPr>
      <w:r>
        <w:rPr>
          <w:rFonts w:hint="eastAsia" w:ascii="宋体" w:hAnsi="宋体" w:cs="宋体"/>
          <w:bCs/>
          <w:szCs w:val="21"/>
        </w:rPr>
        <w:t>——准入标准：必要条件第（1）条+参考条件二条或必要条件第（2）条。</w:t>
      </w:r>
    </w:p>
    <w:p>
      <w:pPr>
        <w:ind w:firstLine="420" w:firstLineChars="200"/>
        <w:jc w:val="left"/>
        <w:rPr>
          <w:rFonts w:ascii="宋体" w:hAnsi="宋体" w:cs="宋体"/>
          <w:bCs/>
          <w:szCs w:val="21"/>
        </w:rPr>
      </w:pPr>
      <w:r>
        <w:rPr>
          <w:rFonts w:hint="eastAsia" w:ascii="宋体" w:hAnsi="宋体" w:cs="宋体"/>
          <w:bCs/>
          <w:szCs w:val="21"/>
        </w:rPr>
        <w:t>2.治疗范围：</w:t>
      </w:r>
    </w:p>
    <w:p>
      <w:pPr>
        <w:ind w:firstLine="420" w:firstLineChars="200"/>
        <w:jc w:val="left"/>
        <w:rPr>
          <w:rFonts w:ascii="宋体" w:hAnsi="宋体" w:cs="宋体"/>
          <w:bCs/>
          <w:szCs w:val="21"/>
        </w:rPr>
      </w:pPr>
      <w:r>
        <w:rPr>
          <w:rFonts w:hint="eastAsia" w:ascii="宋体" w:hAnsi="宋体" w:cs="宋体"/>
          <w:bCs/>
          <w:szCs w:val="21"/>
        </w:rPr>
        <w:t>（1）平喘药。</w:t>
      </w:r>
    </w:p>
    <w:p>
      <w:pPr>
        <w:ind w:firstLine="420" w:firstLineChars="200"/>
        <w:jc w:val="left"/>
        <w:rPr>
          <w:rFonts w:ascii="宋体" w:hAnsi="宋体" w:cs="宋体"/>
          <w:bCs/>
          <w:szCs w:val="21"/>
        </w:rPr>
      </w:pPr>
      <w:r>
        <w:rPr>
          <w:rFonts w:hint="eastAsia" w:ascii="宋体" w:hAnsi="宋体" w:cs="宋体"/>
          <w:bCs/>
          <w:szCs w:val="21"/>
        </w:rPr>
        <w:t>（2）肾上腺皮质激素。</w:t>
      </w:r>
    </w:p>
    <w:p>
      <w:pPr>
        <w:ind w:firstLine="420" w:firstLineChars="200"/>
        <w:jc w:val="left"/>
        <w:rPr>
          <w:rFonts w:ascii="宋体" w:hAnsi="宋体" w:cs="宋体"/>
          <w:bCs/>
          <w:szCs w:val="21"/>
        </w:rPr>
      </w:pPr>
      <w:r>
        <w:rPr>
          <w:rFonts w:hint="eastAsia" w:ascii="宋体" w:hAnsi="宋体" w:cs="宋体"/>
          <w:bCs/>
          <w:szCs w:val="21"/>
        </w:rPr>
        <w:t>（3）祛痰药。</w:t>
      </w:r>
    </w:p>
    <w:p>
      <w:pPr>
        <w:ind w:firstLine="420" w:firstLineChars="200"/>
        <w:jc w:val="left"/>
        <w:rPr>
          <w:rFonts w:ascii="宋体" w:hAnsi="宋体" w:cs="宋体"/>
          <w:bCs/>
          <w:szCs w:val="21"/>
        </w:rPr>
      </w:pPr>
      <w:r>
        <w:rPr>
          <w:rFonts w:hint="eastAsia" w:ascii="宋体" w:hAnsi="宋体" w:cs="宋体"/>
          <w:bCs/>
          <w:szCs w:val="21"/>
        </w:rPr>
        <w:t>（4）镇咳药。</w:t>
      </w:r>
    </w:p>
    <w:p>
      <w:pPr>
        <w:ind w:firstLine="420" w:firstLineChars="200"/>
        <w:jc w:val="left"/>
        <w:rPr>
          <w:rFonts w:ascii="宋体" w:hAnsi="宋体" w:cs="宋体"/>
          <w:bCs/>
          <w:szCs w:val="21"/>
        </w:rPr>
      </w:pPr>
      <w:r>
        <w:rPr>
          <w:rFonts w:hint="eastAsia" w:ascii="宋体" w:hAnsi="宋体" w:cs="宋体"/>
          <w:bCs/>
          <w:szCs w:val="21"/>
        </w:rPr>
        <w:t>（5）抗感染治疗（限呼吸系统感染）。</w:t>
      </w:r>
    </w:p>
    <w:p>
      <w:pPr>
        <w:ind w:firstLine="420" w:firstLineChars="200"/>
        <w:jc w:val="left"/>
        <w:rPr>
          <w:rFonts w:ascii="宋体" w:hAnsi="宋体" w:cs="宋体"/>
          <w:bCs/>
          <w:szCs w:val="21"/>
        </w:rPr>
      </w:pPr>
      <w:r>
        <w:rPr>
          <w:rFonts w:hint="eastAsia" w:ascii="宋体" w:hAnsi="宋体" w:cs="宋体"/>
          <w:bCs/>
          <w:szCs w:val="21"/>
        </w:rPr>
        <w:t>3.检验：</w:t>
      </w:r>
    </w:p>
    <w:p>
      <w:pPr>
        <w:ind w:firstLine="420" w:firstLineChars="200"/>
        <w:jc w:val="left"/>
        <w:rPr>
          <w:rFonts w:hint="eastAsia" w:ascii="宋体" w:hAnsi="宋体" w:cs="宋体"/>
          <w:bCs/>
          <w:szCs w:val="21"/>
        </w:rPr>
      </w:pPr>
      <w:r>
        <w:rPr>
          <w:rFonts w:hint="eastAsia" w:ascii="宋体" w:hAnsi="宋体" w:cs="宋体"/>
          <w:bCs/>
          <w:szCs w:val="21"/>
        </w:rPr>
        <w:t>X线胸片或者胸部CT（次/1-2月）、肺功能检查（次/3-6月）、血常规（次/1-2月）、血气分析（次/1-2月）、痰培养+药敏（次/1-2月，限合并呼吸系统感染）。</w:t>
      </w:r>
    </w:p>
    <w:p>
      <w:pPr>
        <w:ind w:firstLine="420" w:firstLineChars="200"/>
        <w:jc w:val="left"/>
        <w:rPr>
          <w:rFonts w:hint="eastAsia" w:ascii="宋体" w:hAnsi="宋体" w:cs="宋体"/>
          <w:bCs/>
          <w:szCs w:val="21"/>
        </w:rPr>
      </w:pPr>
    </w:p>
    <w:p>
      <w:pPr>
        <w:pStyle w:val="2"/>
        <w:rPr>
          <w:color w:val="auto"/>
        </w:rPr>
      </w:pPr>
      <w:bookmarkStart w:id="23" w:name="_Toc25381"/>
      <w:r>
        <w:rPr>
          <w:rFonts w:hint="eastAsia"/>
          <w:color w:val="auto"/>
        </w:rPr>
        <w:t>（二十）阿尔茨海默病</w:t>
      </w:r>
      <w:bookmarkEnd w:id="23"/>
    </w:p>
    <w:p>
      <w:pPr>
        <w:ind w:firstLine="420" w:firstLineChars="200"/>
        <w:jc w:val="left"/>
        <w:rPr>
          <w:rFonts w:ascii="宋体" w:hAnsi="宋体" w:cs="宋体"/>
          <w:bCs/>
          <w:szCs w:val="21"/>
        </w:rPr>
      </w:pPr>
      <w:r>
        <w:rPr>
          <w:rFonts w:hint="eastAsia" w:ascii="宋体" w:hAnsi="宋体" w:cs="宋体"/>
          <w:bCs/>
          <w:szCs w:val="21"/>
        </w:rPr>
        <w:t>1.诊断标准：</w:t>
      </w:r>
    </w:p>
    <w:p>
      <w:pPr>
        <w:ind w:firstLine="420" w:firstLineChars="200"/>
        <w:jc w:val="left"/>
        <w:rPr>
          <w:rFonts w:ascii="宋体" w:hAnsi="宋体" w:cs="宋体"/>
          <w:bCs/>
          <w:szCs w:val="21"/>
        </w:rPr>
      </w:pPr>
      <w:r>
        <w:rPr>
          <w:rFonts w:hint="eastAsia" w:ascii="宋体" w:hAnsi="宋体" w:cs="宋体"/>
          <w:bCs/>
          <w:szCs w:val="21"/>
        </w:rPr>
        <w:t>（1）符合痴呆标准：临床上起病隐匿，逐渐进展并恶化，出现明显记忆力下降、言语障碍、工作生活能力下降、影响社会功能等症状。参考临床神经心理学量表检测（如简易精神状况检查量表 MMSE，蒙特利尔认知测验MoCA等），提示有认知下降，头颅MRI未见明显异常或有颞叶海马萎缩的影像学特点等综合判断（必要条件）。</w:t>
      </w:r>
    </w:p>
    <w:p>
      <w:pPr>
        <w:ind w:firstLine="420" w:firstLineChars="200"/>
        <w:jc w:val="left"/>
        <w:rPr>
          <w:rFonts w:ascii="宋体" w:hAnsi="宋体" w:cs="宋体"/>
          <w:bCs/>
          <w:szCs w:val="21"/>
        </w:rPr>
      </w:pPr>
      <w:r>
        <w:rPr>
          <w:rFonts w:hint="eastAsia" w:ascii="宋体" w:hAnsi="宋体" w:cs="宋体"/>
          <w:bCs/>
          <w:szCs w:val="21"/>
        </w:rPr>
        <w:t>（2）排除其他原因引起痴呆：如血管性、感染性、代谢性、中毒性、其他变性病等（必要条件）。</w:t>
      </w:r>
    </w:p>
    <w:p>
      <w:pPr>
        <w:ind w:firstLine="420" w:firstLineChars="200"/>
        <w:jc w:val="left"/>
        <w:rPr>
          <w:rFonts w:ascii="宋体" w:hAnsi="宋体" w:cs="宋体"/>
          <w:bCs/>
          <w:szCs w:val="21"/>
        </w:rPr>
      </w:pPr>
      <w:r>
        <w:rPr>
          <w:rFonts w:hint="eastAsia" w:ascii="宋体" w:hAnsi="宋体" w:cs="宋体"/>
          <w:bCs/>
          <w:szCs w:val="21"/>
        </w:rPr>
        <w:t>（3）由二甲（含）以上医院神经、精神专科副高（含）以上或科主任诊断（必要条件）。</w:t>
      </w:r>
    </w:p>
    <w:p>
      <w:pPr>
        <w:ind w:firstLine="420" w:firstLineChars="200"/>
        <w:jc w:val="left"/>
        <w:rPr>
          <w:rFonts w:ascii="宋体" w:hAnsi="宋体" w:cs="宋体"/>
          <w:bCs/>
          <w:szCs w:val="21"/>
        </w:rPr>
      </w:pPr>
      <w:r>
        <w:rPr>
          <w:rFonts w:hint="eastAsia" w:ascii="宋体" w:hAnsi="宋体" w:cs="宋体"/>
          <w:bCs/>
          <w:szCs w:val="21"/>
        </w:rPr>
        <w:t>——准入标准：必要条件三条。</w:t>
      </w:r>
    </w:p>
    <w:p>
      <w:pPr>
        <w:ind w:firstLine="420" w:firstLineChars="200"/>
        <w:jc w:val="left"/>
        <w:rPr>
          <w:rFonts w:ascii="宋体" w:hAnsi="宋体" w:cs="宋体"/>
          <w:bCs/>
          <w:szCs w:val="21"/>
        </w:rPr>
      </w:pPr>
      <w:r>
        <w:rPr>
          <w:rFonts w:hint="eastAsia" w:ascii="宋体" w:hAnsi="宋体" w:cs="宋体"/>
          <w:bCs/>
          <w:szCs w:val="21"/>
        </w:rPr>
        <w:t>2.治疗范围：</w:t>
      </w:r>
    </w:p>
    <w:p>
      <w:pPr>
        <w:ind w:firstLine="420" w:firstLineChars="200"/>
        <w:jc w:val="left"/>
        <w:rPr>
          <w:rFonts w:ascii="宋体" w:hAnsi="宋体" w:cs="宋体"/>
          <w:bCs/>
          <w:szCs w:val="21"/>
        </w:rPr>
      </w:pPr>
      <w:r>
        <w:rPr>
          <w:rFonts w:hint="eastAsia" w:ascii="宋体" w:hAnsi="宋体" w:cs="宋体"/>
          <w:bCs/>
          <w:szCs w:val="21"/>
        </w:rPr>
        <w:t>抗阿尔茨海默病药物。</w:t>
      </w:r>
    </w:p>
    <w:p>
      <w:pPr>
        <w:ind w:firstLine="420" w:firstLineChars="200"/>
        <w:jc w:val="left"/>
        <w:rPr>
          <w:rFonts w:ascii="宋体" w:hAnsi="宋体" w:cs="宋体"/>
          <w:bCs/>
          <w:szCs w:val="21"/>
        </w:rPr>
      </w:pPr>
      <w:r>
        <w:rPr>
          <w:rFonts w:hint="eastAsia" w:ascii="宋体" w:hAnsi="宋体" w:cs="宋体"/>
          <w:bCs/>
          <w:szCs w:val="21"/>
        </w:rPr>
        <w:t>3.检验：</w:t>
      </w:r>
    </w:p>
    <w:p>
      <w:pPr>
        <w:ind w:firstLine="420" w:firstLineChars="200"/>
        <w:jc w:val="left"/>
        <w:rPr>
          <w:rFonts w:hint="eastAsia" w:ascii="宋体" w:hAnsi="宋体" w:cs="宋体"/>
          <w:bCs/>
          <w:szCs w:val="21"/>
        </w:rPr>
      </w:pPr>
      <w:r>
        <w:rPr>
          <w:rFonts w:hint="eastAsia" w:ascii="宋体" w:hAnsi="宋体" w:cs="宋体"/>
          <w:bCs/>
          <w:szCs w:val="21"/>
        </w:rPr>
        <w:t>血常规（次/3月），生化筛查常规（次/3月），头颅核磁共振（次/1年）。</w:t>
      </w:r>
    </w:p>
    <w:p>
      <w:pPr>
        <w:ind w:firstLine="422" w:firstLineChars="200"/>
        <w:jc w:val="left"/>
        <w:rPr>
          <w:rFonts w:hint="eastAsia" w:ascii="宋体" w:hAnsi="宋体" w:cs="宋体"/>
          <w:bCs/>
          <w:szCs w:val="21"/>
        </w:rPr>
      </w:pPr>
      <w:r>
        <w:rPr>
          <w:rFonts w:ascii="宋体" w:hAnsi="宋体" w:eastAsia="宋体" w:cs="宋体"/>
          <w:b/>
          <w:bCs/>
          <w:kern w:val="2"/>
          <w:sz w:val="21"/>
          <w:szCs w:val="21"/>
          <w:lang w:val="en-US" w:eastAsia="zh-CN" w:bidi="ar-SA"/>
        </w:rPr>
        <mc:AlternateContent>
          <mc:Choice Requires="wps">
            <w:drawing>
              <wp:anchor distT="0" distB="0" distL="114300" distR="114300" simplePos="0" relativeHeight="251852800" behindDoc="0" locked="0" layoutInCell="1" allowOverlap="1">
                <wp:simplePos x="0" y="0"/>
                <wp:positionH relativeFrom="column">
                  <wp:posOffset>-70485</wp:posOffset>
                </wp:positionH>
                <wp:positionV relativeFrom="paragraph">
                  <wp:posOffset>15875</wp:posOffset>
                </wp:positionV>
                <wp:extent cx="5382895" cy="1310005"/>
                <wp:effectExtent l="4445" t="4445" r="22860" b="19050"/>
                <wp:wrapNone/>
                <wp:docPr id="23" name="Quad Arrow 1204"/>
                <wp:cNvGraphicFramePr/>
                <a:graphic xmlns:a="http://schemas.openxmlformats.org/drawingml/2006/main">
                  <a:graphicData uri="http://schemas.microsoft.com/office/word/2010/wordprocessingShape">
                    <wps:wsp>
                      <wps:cNvSpPr txBox="1"/>
                      <wps:spPr>
                        <a:xfrm>
                          <a:off x="0" y="0"/>
                          <a:ext cx="5382895" cy="1310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eastAsia"/>
                                <w:color w:val="auto"/>
                                <w:lang w:eastAsia="zh-CN"/>
                              </w:rPr>
                            </w:pPr>
                            <w:r>
                              <w:rPr>
                                <w:rFonts w:hint="eastAsia" w:ascii="宋体" w:hAnsi="宋体" w:cs="宋体"/>
                                <w:lang w:val="en-US" w:eastAsia="zh-CN"/>
                              </w:rPr>
                              <w:t>2018年7月16日开始，不管之前是否办理过精神病特殊门诊，</w:t>
                            </w:r>
                            <w:r>
                              <w:rPr>
                                <w:rFonts w:hint="eastAsia"/>
                                <w:color w:val="auto"/>
                              </w:rPr>
                              <w:t>阿尔茨海默病</w:t>
                            </w:r>
                            <w:r>
                              <w:rPr>
                                <w:rFonts w:hint="eastAsia"/>
                                <w:color w:val="auto"/>
                                <w:lang w:eastAsia="zh-CN"/>
                              </w:rPr>
                              <w:t>患者</w:t>
                            </w:r>
                            <w:r>
                              <w:rPr>
                                <w:rFonts w:hint="eastAsia" w:ascii="宋体" w:hAnsi="宋体" w:cs="宋体"/>
                                <w:lang w:val="en-US" w:eastAsia="zh-CN"/>
                              </w:rPr>
                              <w:t>均应按</w:t>
                            </w:r>
                            <w:r>
                              <w:rPr>
                                <w:rFonts w:hint="eastAsia"/>
                                <w:color w:val="auto"/>
                              </w:rPr>
                              <w:t>阿尔茨海默病</w:t>
                            </w:r>
                            <w:r>
                              <w:rPr>
                                <w:rFonts w:hint="eastAsia"/>
                                <w:color w:val="auto"/>
                                <w:lang w:eastAsia="zh-CN"/>
                              </w:rPr>
                              <w:t>特殊门诊办法审批。</w:t>
                            </w:r>
                          </w:p>
                          <w:p>
                            <w:pPr>
                              <w:ind w:firstLine="420" w:firstLineChars="200"/>
                              <w:rPr>
                                <w:rFonts w:hint="eastAsia" w:ascii="宋体" w:hAnsi="宋体" w:cs="宋体"/>
                                <w:lang w:val="en-US" w:eastAsia="zh-CN"/>
                              </w:rPr>
                            </w:pPr>
                            <w:r>
                              <w:rPr>
                                <w:rFonts w:hint="eastAsia" w:ascii="宋体" w:hAnsi="宋体" w:cs="宋体"/>
                                <w:lang w:val="en-US" w:eastAsia="zh-CN"/>
                              </w:rPr>
                              <w:t>针对2018年7月16日之前已审批精神病特殊门诊的</w:t>
                            </w:r>
                            <w:r>
                              <w:rPr>
                                <w:rFonts w:hint="eastAsia"/>
                                <w:color w:val="auto"/>
                              </w:rPr>
                              <w:t>阿尔茨海默病</w:t>
                            </w:r>
                            <w:r>
                              <w:rPr>
                                <w:rFonts w:hint="eastAsia"/>
                                <w:color w:val="auto"/>
                                <w:lang w:eastAsia="zh-CN"/>
                              </w:rPr>
                              <w:t>患者</w:t>
                            </w:r>
                            <w:r>
                              <w:rPr>
                                <w:rFonts w:hint="eastAsia" w:ascii="宋体" w:hAnsi="宋体" w:cs="宋体"/>
                                <w:lang w:val="en-US" w:eastAsia="zh-CN"/>
                              </w:rPr>
                              <w:t>，注意以下情况：</w:t>
                            </w:r>
                          </w:p>
                          <w:p>
                            <w:pPr>
                              <w:numPr>
                                <w:ilvl w:val="0"/>
                                <w:numId w:val="11"/>
                              </w:numPr>
                              <w:ind w:firstLine="420" w:firstLineChars="200"/>
                              <w:rPr>
                                <w:rFonts w:hint="eastAsia" w:ascii="宋体" w:hAnsi="宋体" w:eastAsia="宋体" w:cs="宋体"/>
                                <w:lang w:eastAsia="zh-CN"/>
                              </w:rPr>
                            </w:pPr>
                            <w:r>
                              <w:rPr>
                                <w:rFonts w:hint="eastAsia" w:ascii="宋体" w:hAnsi="宋体" w:cs="宋体"/>
                                <w:lang w:val="en-US" w:eastAsia="zh-CN"/>
                              </w:rPr>
                              <w:t>需询问办理人（或患者本人）患者是否患有精神病，患有精神病的则保留精神病特殊门诊，无患精神病则在办理</w:t>
                            </w:r>
                            <w:r>
                              <w:rPr>
                                <w:rFonts w:hint="eastAsia"/>
                                <w:color w:val="auto"/>
                              </w:rPr>
                              <w:t>阿尔茨海默病</w:t>
                            </w:r>
                            <w:r>
                              <w:rPr>
                                <w:rFonts w:hint="eastAsia"/>
                                <w:color w:val="auto"/>
                                <w:lang w:eastAsia="zh-CN"/>
                              </w:rPr>
                              <w:t>特殊门诊之日停止</w:t>
                            </w:r>
                            <w:r>
                              <w:rPr>
                                <w:rFonts w:hint="eastAsia" w:ascii="宋体" w:hAnsi="宋体" w:cs="宋体"/>
                                <w:lang w:val="en-US" w:eastAsia="zh-CN"/>
                              </w:rPr>
                              <w:t>精神病特殊门诊。</w:t>
                            </w:r>
                          </w:p>
                        </w:txbxContent>
                      </wps:txbx>
                      <wps:bodyPr upright="1"/>
                    </wps:wsp>
                  </a:graphicData>
                </a:graphic>
              </wp:anchor>
            </w:drawing>
          </mc:Choice>
          <mc:Fallback>
            <w:pict>
              <v:shape id="Quad Arrow 1204" o:spid="_x0000_s1026" o:spt="202" type="#_x0000_t202" style="position:absolute;left:0pt;margin-left:-5.55pt;margin-top:1.25pt;height:103.15pt;width:423.85pt;z-index:251852800;mso-width-relative:page;mso-height-relative:page;" fillcolor="#FFFFFF" filled="t" stroked="t" coordsize="21600,21600" o:gfxdata="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stm&#10;9dgAAAAJAQAADwAAAAAAAAABACAAAAAiAAAAZHJzL2Rvd25yZXYueG1sUEsBAhQAFAAAAAgAh07i&#10;QAIs+pzpAQAA7gMAAA4AAAAAAAAAAQAgAAAAJwEAAGRycy9lMm9Eb2MueG1sUEsFBgAAAAAGAAYA&#10;WQEAAIIFAAAAAA==&#10;">
                <v:fill on="t" focussize="0,0"/>
                <v:stroke color="#000000" joinstyle="miter"/>
                <v:imagedata o:title=""/>
                <o:lock v:ext="edit" aspectratio="f"/>
                <v:textbox>
                  <w:txbxContent>
                    <w:p>
                      <w:pPr>
                        <w:ind w:firstLine="420" w:firstLineChars="200"/>
                        <w:rPr>
                          <w:rFonts w:hint="eastAsia"/>
                          <w:color w:val="auto"/>
                          <w:lang w:eastAsia="zh-CN"/>
                        </w:rPr>
                      </w:pPr>
                      <w:r>
                        <w:rPr>
                          <w:rFonts w:hint="eastAsia" w:ascii="宋体" w:hAnsi="宋体" w:cs="宋体"/>
                          <w:lang w:val="en-US" w:eastAsia="zh-CN"/>
                        </w:rPr>
                        <w:t>2018年7月16日开始，不管之前是否办理过精神病特殊门诊，</w:t>
                      </w:r>
                      <w:r>
                        <w:rPr>
                          <w:rFonts w:hint="eastAsia"/>
                          <w:color w:val="auto"/>
                        </w:rPr>
                        <w:t>阿尔茨海默病</w:t>
                      </w:r>
                      <w:r>
                        <w:rPr>
                          <w:rFonts w:hint="eastAsia"/>
                          <w:color w:val="auto"/>
                          <w:lang w:eastAsia="zh-CN"/>
                        </w:rPr>
                        <w:t>患者</w:t>
                      </w:r>
                      <w:r>
                        <w:rPr>
                          <w:rFonts w:hint="eastAsia" w:ascii="宋体" w:hAnsi="宋体" w:cs="宋体"/>
                          <w:lang w:val="en-US" w:eastAsia="zh-CN"/>
                        </w:rPr>
                        <w:t>均应按</w:t>
                      </w:r>
                      <w:r>
                        <w:rPr>
                          <w:rFonts w:hint="eastAsia"/>
                          <w:color w:val="auto"/>
                        </w:rPr>
                        <w:t>阿尔茨海默病</w:t>
                      </w:r>
                      <w:r>
                        <w:rPr>
                          <w:rFonts w:hint="eastAsia"/>
                          <w:color w:val="auto"/>
                          <w:lang w:eastAsia="zh-CN"/>
                        </w:rPr>
                        <w:t>特殊门诊办法审批。</w:t>
                      </w:r>
                    </w:p>
                    <w:p>
                      <w:pPr>
                        <w:ind w:firstLine="420" w:firstLineChars="200"/>
                        <w:rPr>
                          <w:rFonts w:hint="eastAsia" w:ascii="宋体" w:hAnsi="宋体" w:cs="宋体"/>
                          <w:lang w:val="en-US" w:eastAsia="zh-CN"/>
                        </w:rPr>
                      </w:pPr>
                      <w:r>
                        <w:rPr>
                          <w:rFonts w:hint="eastAsia" w:ascii="宋体" w:hAnsi="宋体" w:cs="宋体"/>
                          <w:lang w:val="en-US" w:eastAsia="zh-CN"/>
                        </w:rPr>
                        <w:t>针对2018年7月16日之前已审批精神病特殊门诊的</w:t>
                      </w:r>
                      <w:r>
                        <w:rPr>
                          <w:rFonts w:hint="eastAsia"/>
                          <w:color w:val="auto"/>
                        </w:rPr>
                        <w:t>阿尔茨海默病</w:t>
                      </w:r>
                      <w:r>
                        <w:rPr>
                          <w:rFonts w:hint="eastAsia"/>
                          <w:color w:val="auto"/>
                          <w:lang w:eastAsia="zh-CN"/>
                        </w:rPr>
                        <w:t>患者</w:t>
                      </w:r>
                      <w:r>
                        <w:rPr>
                          <w:rFonts w:hint="eastAsia" w:ascii="宋体" w:hAnsi="宋体" w:cs="宋体"/>
                          <w:lang w:val="en-US" w:eastAsia="zh-CN"/>
                        </w:rPr>
                        <w:t>，注意以下情况：</w:t>
                      </w:r>
                    </w:p>
                    <w:p>
                      <w:pPr>
                        <w:numPr>
                          <w:ilvl w:val="0"/>
                          <w:numId w:val="11"/>
                        </w:numPr>
                        <w:ind w:firstLine="420" w:firstLineChars="200"/>
                        <w:rPr>
                          <w:rFonts w:hint="eastAsia" w:ascii="宋体" w:hAnsi="宋体" w:eastAsia="宋体" w:cs="宋体"/>
                          <w:lang w:eastAsia="zh-CN"/>
                        </w:rPr>
                      </w:pPr>
                      <w:r>
                        <w:rPr>
                          <w:rFonts w:hint="eastAsia" w:ascii="宋体" w:hAnsi="宋体" w:cs="宋体"/>
                          <w:lang w:val="en-US" w:eastAsia="zh-CN"/>
                        </w:rPr>
                        <w:t>需询问办理人（或患者本人）患者是否患有精神病，患有精神病的则保留精神病特殊门诊，无患精神病则在办理</w:t>
                      </w:r>
                      <w:r>
                        <w:rPr>
                          <w:rFonts w:hint="eastAsia"/>
                          <w:color w:val="auto"/>
                        </w:rPr>
                        <w:t>阿尔茨海默病</w:t>
                      </w:r>
                      <w:r>
                        <w:rPr>
                          <w:rFonts w:hint="eastAsia"/>
                          <w:color w:val="auto"/>
                          <w:lang w:eastAsia="zh-CN"/>
                        </w:rPr>
                        <w:t>特殊门诊之日停止</w:t>
                      </w:r>
                      <w:r>
                        <w:rPr>
                          <w:rFonts w:hint="eastAsia" w:ascii="宋体" w:hAnsi="宋体" w:cs="宋体"/>
                          <w:lang w:val="en-US" w:eastAsia="zh-CN"/>
                        </w:rPr>
                        <w:t>精神病特殊门诊。</w:t>
                      </w:r>
                    </w:p>
                  </w:txbxContent>
                </v:textbox>
              </v:shape>
            </w:pict>
          </mc:Fallback>
        </mc:AlternateContent>
      </w:r>
    </w:p>
    <w:p>
      <w:pPr>
        <w:ind w:firstLine="420" w:firstLineChars="200"/>
        <w:jc w:val="left"/>
        <w:rPr>
          <w:rFonts w:hint="eastAsia" w:ascii="宋体" w:hAnsi="宋体" w:cs="宋体"/>
          <w:bCs/>
          <w:szCs w:val="21"/>
        </w:rPr>
      </w:pPr>
    </w:p>
    <w:p>
      <w:pPr>
        <w:ind w:firstLine="420" w:firstLineChars="200"/>
        <w:jc w:val="left"/>
        <w:rPr>
          <w:rFonts w:hint="eastAsia" w:ascii="宋体" w:hAnsi="宋体" w:cs="宋体"/>
          <w:bCs/>
          <w:szCs w:val="21"/>
        </w:rPr>
      </w:pPr>
    </w:p>
    <w:p>
      <w:pPr>
        <w:ind w:firstLine="420" w:firstLineChars="200"/>
        <w:jc w:val="left"/>
        <w:rPr>
          <w:rFonts w:hint="eastAsia" w:ascii="宋体" w:hAnsi="宋体" w:cs="宋体"/>
          <w:bCs/>
          <w:szCs w:val="21"/>
        </w:rPr>
      </w:pPr>
    </w:p>
    <w:p>
      <w:pPr>
        <w:ind w:firstLine="420" w:firstLineChars="200"/>
        <w:jc w:val="left"/>
        <w:rPr>
          <w:rFonts w:hint="eastAsia" w:ascii="宋体" w:hAnsi="宋体" w:cs="宋体"/>
          <w:bCs/>
          <w:szCs w:val="21"/>
        </w:rPr>
      </w:pPr>
    </w:p>
    <w:p>
      <w:pPr>
        <w:ind w:firstLine="420" w:firstLineChars="200"/>
        <w:jc w:val="left"/>
        <w:rPr>
          <w:rFonts w:hint="eastAsia" w:ascii="宋体" w:hAnsi="宋体" w:cs="宋体"/>
          <w:bCs/>
          <w:szCs w:val="21"/>
        </w:rPr>
      </w:pPr>
    </w:p>
    <w:p>
      <w:pPr>
        <w:pStyle w:val="2"/>
        <w:rPr>
          <w:rFonts w:hint="eastAsia"/>
          <w:color w:val="auto"/>
        </w:rPr>
      </w:pPr>
      <w:bookmarkStart w:id="24" w:name="_Toc10516"/>
    </w:p>
    <w:p>
      <w:pPr>
        <w:pStyle w:val="2"/>
        <w:rPr>
          <w:rFonts w:hint="eastAsia"/>
          <w:color w:val="auto"/>
        </w:rPr>
      </w:pPr>
    </w:p>
    <w:p>
      <w:pPr>
        <w:pStyle w:val="2"/>
        <w:ind w:left="0" w:leftChars="0" w:firstLine="0" w:firstLineChars="0"/>
        <w:rPr>
          <w:rFonts w:hint="eastAsia"/>
          <w:color w:val="auto"/>
        </w:rPr>
      </w:pPr>
    </w:p>
    <w:p>
      <w:pPr>
        <w:pStyle w:val="2"/>
        <w:rPr>
          <w:color w:val="auto"/>
        </w:rPr>
      </w:pPr>
      <w:r>
        <w:rPr>
          <w:rFonts w:hint="eastAsia"/>
          <w:color w:val="auto"/>
        </w:rPr>
        <w:t>（二十一）黄斑变性眼内注射治疗</w:t>
      </w:r>
      <w:bookmarkEnd w:id="24"/>
    </w:p>
    <w:p>
      <w:pPr>
        <w:jc w:val="left"/>
        <w:rPr>
          <w:rFonts w:ascii="宋体" w:hAnsi="宋体" w:cs="宋体"/>
          <w:bCs/>
          <w:szCs w:val="21"/>
        </w:rPr>
      </w:pPr>
      <w:r>
        <w:rPr>
          <w:rFonts w:hint="eastAsia" w:ascii="宋体" w:hAnsi="宋体" w:cs="宋体"/>
          <w:bCs/>
          <w:szCs w:val="21"/>
        </w:rPr>
        <w:t>1.诊断标准：</w:t>
      </w:r>
    </w:p>
    <w:p>
      <w:pPr>
        <w:ind w:firstLine="420" w:firstLineChars="200"/>
        <w:jc w:val="left"/>
        <w:rPr>
          <w:rFonts w:ascii="宋体" w:hAnsi="宋体" w:cs="宋体"/>
          <w:bCs/>
          <w:szCs w:val="21"/>
        </w:rPr>
      </w:pPr>
      <w:r>
        <w:rPr>
          <w:rFonts w:hint="eastAsia" w:ascii="宋体" w:hAnsi="宋体" w:cs="宋体"/>
          <w:bCs/>
          <w:szCs w:val="21"/>
        </w:rPr>
        <w:t>（1）50岁以上患者，经三级综合医院眼科或二级及以上眼科专科医院医师确诊为湿性年龄相关性黄斑变性，糖尿病患者需行眼底照相排除糖尿病视网膜病变（必要条件）。</w:t>
      </w:r>
    </w:p>
    <w:p>
      <w:pPr>
        <w:ind w:firstLine="420" w:firstLineChars="200"/>
        <w:jc w:val="left"/>
        <w:rPr>
          <w:rFonts w:ascii="宋体" w:hAnsi="宋体" w:cs="宋体"/>
          <w:bCs/>
          <w:szCs w:val="21"/>
        </w:rPr>
      </w:pPr>
      <w:r>
        <w:rPr>
          <w:rFonts w:hint="eastAsia" w:ascii="宋体" w:hAnsi="宋体" w:cs="宋体"/>
          <w:bCs/>
          <w:szCs w:val="21"/>
        </w:rPr>
        <w:t>（2）矫正视力大于或等于0.05且少于或等于0.5之间（必要条件）。</w:t>
      </w:r>
    </w:p>
    <w:p>
      <w:pPr>
        <w:ind w:firstLine="420" w:firstLineChars="200"/>
        <w:jc w:val="left"/>
        <w:rPr>
          <w:rFonts w:ascii="宋体" w:hAnsi="宋体" w:cs="宋体"/>
          <w:bCs/>
          <w:szCs w:val="21"/>
        </w:rPr>
      </w:pPr>
      <w:r>
        <w:rPr>
          <w:rFonts w:hint="eastAsia" w:ascii="宋体" w:hAnsi="宋体" w:cs="宋体"/>
          <w:bCs/>
          <w:szCs w:val="21"/>
        </w:rPr>
        <w:t>（3）需有血管造影及光学相干断层扫描（OCT）证实黄斑区有新生血管，对于不适合做血管造影患者，血管成像（OCTA）证实黄斑区有新生血管（必要条件）。</w:t>
      </w:r>
    </w:p>
    <w:p>
      <w:pPr>
        <w:ind w:firstLine="420" w:firstLineChars="200"/>
        <w:jc w:val="left"/>
        <w:rPr>
          <w:rFonts w:ascii="宋体" w:hAnsi="宋体" w:cs="宋体"/>
          <w:bCs/>
          <w:szCs w:val="21"/>
        </w:rPr>
      </w:pPr>
      <w:r>
        <w:rPr>
          <w:rFonts w:hint="eastAsia" w:ascii="宋体" w:hAnsi="宋体" w:cs="宋体"/>
          <w:bCs/>
          <w:szCs w:val="21"/>
        </w:rPr>
        <w:t>——准入标准：必要条件三条。</w:t>
      </w:r>
    </w:p>
    <w:p>
      <w:pPr>
        <w:ind w:firstLine="420" w:firstLineChars="200"/>
        <w:jc w:val="left"/>
        <w:rPr>
          <w:rFonts w:ascii="宋体" w:hAnsi="宋体" w:cs="宋体"/>
          <w:bCs/>
          <w:szCs w:val="21"/>
        </w:rPr>
      </w:pPr>
      <w:r>
        <w:rPr>
          <w:rFonts w:hint="eastAsia" w:ascii="宋体" w:hAnsi="宋体" w:cs="宋体"/>
          <w:bCs/>
          <w:szCs w:val="21"/>
        </w:rPr>
        <w:t>2.治疗范围：</w:t>
      </w:r>
    </w:p>
    <w:p>
      <w:pPr>
        <w:ind w:firstLine="420" w:firstLineChars="200"/>
        <w:jc w:val="left"/>
        <w:rPr>
          <w:rFonts w:ascii="宋体" w:hAnsi="宋体" w:cs="宋体"/>
          <w:bCs/>
          <w:szCs w:val="21"/>
        </w:rPr>
      </w:pPr>
      <w:r>
        <w:rPr>
          <w:rFonts w:hint="eastAsia" w:ascii="宋体" w:hAnsi="宋体" w:cs="宋体"/>
          <w:bCs/>
          <w:szCs w:val="21"/>
        </w:rPr>
        <w:t>康柏西普、雷珠单抗及眼底注射治疗相关费用。</w:t>
      </w:r>
    </w:p>
    <w:p>
      <w:pPr>
        <w:ind w:firstLine="420" w:firstLineChars="200"/>
        <w:jc w:val="left"/>
        <w:rPr>
          <w:rFonts w:ascii="宋体" w:hAnsi="宋体" w:cs="宋体"/>
          <w:bCs/>
          <w:szCs w:val="21"/>
        </w:rPr>
      </w:pPr>
      <w:r>
        <w:rPr>
          <w:rFonts w:hint="eastAsia" w:ascii="宋体" w:hAnsi="宋体" w:cs="宋体"/>
          <w:bCs/>
          <w:szCs w:val="21"/>
        </w:rPr>
        <w:t>3.检验：</w:t>
      </w:r>
    </w:p>
    <w:p>
      <w:pPr>
        <w:ind w:firstLine="420" w:firstLineChars="200"/>
        <w:jc w:val="left"/>
        <w:rPr>
          <w:rFonts w:ascii="宋体" w:hAnsi="宋体" w:cs="宋体"/>
          <w:szCs w:val="21"/>
        </w:rPr>
      </w:pPr>
      <w:r>
        <w:rPr>
          <w:rFonts w:hint="eastAsia" w:ascii="宋体" w:hAnsi="宋体" w:cs="宋体"/>
          <w:bCs/>
          <w:szCs w:val="21"/>
        </w:rPr>
        <w:t>眼内注射治疗当月2次OCT检查，以后每月1次OCT检查。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姚体">
    <w:altName w:val="宋体"/>
    <w:panose1 w:val="02010601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FAF"/>
    <w:multiLevelType w:val="multilevel"/>
    <w:tmpl w:val="033F3FA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453150D"/>
    <w:multiLevelType w:val="multilevel"/>
    <w:tmpl w:val="045315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304048"/>
    <w:multiLevelType w:val="multilevel"/>
    <w:tmpl w:val="1030404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3E43516"/>
    <w:multiLevelType w:val="multilevel"/>
    <w:tmpl w:val="13E43516"/>
    <w:lvl w:ilvl="0" w:tentative="0">
      <w:start w:val="1"/>
      <w:numFmt w:val="decimal"/>
      <w:lvlText w:val="%1."/>
      <w:lvlJc w:val="left"/>
      <w:pPr>
        <w:ind w:left="1005" w:hanging="58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B241D7A"/>
    <w:multiLevelType w:val="multilevel"/>
    <w:tmpl w:val="3B241D7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F6B3F2B"/>
    <w:multiLevelType w:val="multilevel"/>
    <w:tmpl w:val="3F6B3F2B"/>
    <w:lvl w:ilvl="0" w:tentative="0">
      <w:start w:val="1"/>
      <w:numFmt w:val="decimal"/>
      <w:lvlText w:val="%1."/>
      <w:lvlJc w:val="left"/>
      <w:pPr>
        <w:ind w:left="1005" w:hanging="58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4628247E"/>
    <w:multiLevelType w:val="multilevel"/>
    <w:tmpl w:val="462824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8AD54B4"/>
    <w:multiLevelType w:val="multilevel"/>
    <w:tmpl w:val="48AD54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BF4B8E9"/>
    <w:multiLevelType w:val="singleLevel"/>
    <w:tmpl w:val="5BF4B8E9"/>
    <w:lvl w:ilvl="0" w:tentative="0">
      <w:start w:val="1"/>
      <w:numFmt w:val="decimal"/>
      <w:lvlText w:val="%1."/>
      <w:lvlJc w:val="left"/>
      <w:pPr>
        <w:tabs>
          <w:tab w:val="left" w:pos="312"/>
        </w:tabs>
      </w:pPr>
    </w:lvl>
  </w:abstractNum>
  <w:abstractNum w:abstractNumId="9">
    <w:nsid w:val="5C887C7B"/>
    <w:multiLevelType w:val="singleLevel"/>
    <w:tmpl w:val="5C887C7B"/>
    <w:lvl w:ilvl="0" w:tentative="0">
      <w:start w:val="17"/>
      <w:numFmt w:val="chineseCounting"/>
      <w:suff w:val="nothing"/>
      <w:lvlText w:val="（%1）"/>
      <w:lvlJc w:val="left"/>
    </w:lvl>
  </w:abstractNum>
  <w:abstractNum w:abstractNumId="10">
    <w:nsid w:val="70900A53"/>
    <w:multiLevelType w:val="multilevel"/>
    <w:tmpl w:val="70900A53"/>
    <w:lvl w:ilvl="0" w:tentative="0">
      <w:start w:val="1"/>
      <w:numFmt w:val="decimal"/>
      <w:lvlText w:val="%1."/>
      <w:lvlJc w:val="left"/>
      <w:pPr>
        <w:ind w:left="840" w:hanging="420"/>
      </w:pPr>
      <w:rPr>
        <w:rFonts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num w:numId="1">
    <w:abstractNumId w:val="10"/>
  </w:num>
  <w:num w:numId="2">
    <w:abstractNumId w:val="1"/>
  </w:num>
  <w:num w:numId="3">
    <w:abstractNumId w:val="3"/>
  </w:num>
  <w:num w:numId="4">
    <w:abstractNumId w:val="2"/>
  </w:num>
  <w:num w:numId="5">
    <w:abstractNumId w:val="0"/>
  </w:num>
  <w:num w:numId="6">
    <w:abstractNumId w:val="5"/>
  </w:num>
  <w:num w:numId="7">
    <w:abstractNumId w:val="4"/>
  </w:num>
  <w:num w:numId="8">
    <w:abstractNumId w:val="6"/>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403AB"/>
    <w:rsid w:val="5D372A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unhideWhenUsed/>
    <w:qFormat/>
    <w:uiPriority w:val="0"/>
    <w:pPr>
      <w:ind w:firstLine="422" w:firstLineChars="200"/>
      <w:outlineLvl w:val="1"/>
    </w:pPr>
    <w:rPr>
      <w:rFonts w:ascii="宋体" w:hAnsi="宋体" w:cs="宋体"/>
      <w:b/>
      <w:color w:val="000000"/>
      <w:kern w:val="0"/>
      <w:szCs w:val="21"/>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Title"/>
    <w:basedOn w:val="1"/>
    <w:qFormat/>
    <w:uiPriority w:val="0"/>
    <w:pPr>
      <w:spacing w:before="240" w:after="60"/>
      <w:jc w:val="center"/>
      <w:outlineLvl w:val="0"/>
    </w:pPr>
    <w:rPr>
      <w:rFonts w:ascii="Arial" w:hAnsi="Arial" w:cs="Arial"/>
      <w:b/>
      <w:bCs/>
      <w:sz w:val="32"/>
      <w:szCs w:val="32"/>
    </w:rPr>
  </w:style>
  <w:style w:type="paragraph" w:customStyle="1" w:styleId="6">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zxv</dc:creator>
  <cp:lastModifiedBy>abc</cp:lastModifiedBy>
  <dcterms:modified xsi:type="dcterms:W3CDTF">2019-05-13T06:12:15Z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